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6" w:rsidRDefault="001A6D46" w:rsidP="001A6D46">
      <w:pPr>
        <w:pStyle w:val="Style1"/>
        <w:keepNext/>
        <w:tabs>
          <w:tab w:val="left" w:pos="2547"/>
        </w:tabs>
        <w:spacing w:line="240" w:lineRule="auto"/>
        <w:rPr>
          <w:rFonts w:ascii="Cambria" w:hAnsi="Cambria"/>
          <w:b/>
          <w:bCs/>
          <w:sz w:val="24"/>
        </w:rPr>
      </w:pPr>
    </w:p>
    <w:p w:rsidR="001A6D46" w:rsidRPr="000A3160" w:rsidRDefault="001A6D46" w:rsidP="001A6D46">
      <w:pPr>
        <w:pStyle w:val="Style1"/>
        <w:keepNext/>
        <w:tabs>
          <w:tab w:val="left" w:pos="2547"/>
        </w:tabs>
        <w:spacing w:line="240" w:lineRule="auto"/>
        <w:rPr>
          <w:rFonts w:ascii="Arial" w:hAnsi="Arial" w:cs="Arial"/>
          <w:b/>
          <w:bCs/>
          <w:sz w:val="24"/>
        </w:rPr>
      </w:pPr>
    </w:p>
    <w:p w:rsidR="001A6D46" w:rsidRPr="000A3160" w:rsidRDefault="001A6D46" w:rsidP="001A6D46">
      <w:pPr>
        <w:pStyle w:val="Style1"/>
        <w:keepNext/>
        <w:tabs>
          <w:tab w:val="left" w:pos="2547"/>
        </w:tabs>
        <w:spacing w:line="240" w:lineRule="auto"/>
        <w:rPr>
          <w:rFonts w:ascii="Arial" w:hAnsi="Arial" w:cs="Arial"/>
          <w:b/>
          <w:bCs/>
          <w:sz w:val="24"/>
        </w:rPr>
      </w:pPr>
      <w:r w:rsidRPr="000A3160">
        <w:rPr>
          <w:rFonts w:ascii="Arial" w:hAnsi="Arial" w:cs="Arial"/>
          <w:b/>
          <w:bCs/>
          <w:sz w:val="24"/>
        </w:rPr>
        <w:t>Uchwała nr</w:t>
      </w:r>
      <w:r w:rsidR="000A3160">
        <w:rPr>
          <w:rFonts w:ascii="Arial" w:hAnsi="Arial" w:cs="Arial"/>
          <w:b/>
          <w:bCs/>
          <w:sz w:val="24"/>
        </w:rPr>
        <w:t xml:space="preserve">   74</w:t>
      </w:r>
      <w:r w:rsidRPr="000A3160">
        <w:rPr>
          <w:rFonts w:ascii="Arial" w:hAnsi="Arial" w:cs="Arial"/>
          <w:b/>
          <w:bCs/>
          <w:sz w:val="24"/>
        </w:rPr>
        <w:t>/2014/2015</w:t>
      </w:r>
      <w:r w:rsidRPr="000A3160">
        <w:rPr>
          <w:rFonts w:ascii="Arial" w:hAnsi="Arial" w:cs="Arial"/>
          <w:b/>
          <w:bCs/>
          <w:sz w:val="24"/>
        </w:rPr>
        <w:br/>
        <w:t>Senatu Uniwersytetu Ekonomicznego w Katowicach</w:t>
      </w:r>
    </w:p>
    <w:p w:rsidR="001A6D46" w:rsidRPr="000A3160" w:rsidRDefault="001A6D46" w:rsidP="001A6D46">
      <w:pPr>
        <w:pStyle w:val="Style4"/>
        <w:keepNext/>
        <w:jc w:val="center"/>
        <w:rPr>
          <w:rFonts w:ascii="Arial" w:hAnsi="Arial" w:cs="Arial"/>
          <w:b/>
          <w:bCs/>
          <w:sz w:val="24"/>
        </w:rPr>
      </w:pPr>
      <w:r w:rsidRPr="000A3160">
        <w:rPr>
          <w:rFonts w:ascii="Arial" w:hAnsi="Arial" w:cs="Arial"/>
          <w:b/>
          <w:bCs/>
          <w:sz w:val="24"/>
        </w:rPr>
        <w:t>z dnia 25 czerwca 2015 roku</w:t>
      </w:r>
    </w:p>
    <w:p w:rsidR="001A6D46" w:rsidRPr="000A3160" w:rsidRDefault="001A6D46" w:rsidP="001A6D46">
      <w:pPr>
        <w:pStyle w:val="Style4"/>
        <w:keepNext/>
        <w:jc w:val="center"/>
        <w:rPr>
          <w:rFonts w:ascii="Arial" w:hAnsi="Arial" w:cs="Arial"/>
          <w:b/>
          <w:bCs/>
          <w:sz w:val="24"/>
        </w:rPr>
      </w:pPr>
      <w:r w:rsidRPr="000A3160">
        <w:rPr>
          <w:rFonts w:ascii="Arial" w:hAnsi="Arial" w:cs="Arial"/>
          <w:b/>
          <w:bCs/>
          <w:sz w:val="24"/>
        </w:rPr>
        <w:t>w sprawie uchwalenia  Regulaminu potwierdzania efektów uczenia się</w:t>
      </w:r>
    </w:p>
    <w:p w:rsidR="001A6D46" w:rsidRPr="000A3160" w:rsidRDefault="001A6D46" w:rsidP="001A6D46">
      <w:pPr>
        <w:pStyle w:val="Style4"/>
        <w:keepNext/>
        <w:jc w:val="center"/>
        <w:rPr>
          <w:rFonts w:ascii="Arial" w:hAnsi="Arial" w:cs="Arial"/>
          <w:b/>
          <w:bCs/>
          <w:sz w:val="24"/>
        </w:rPr>
      </w:pPr>
      <w:r w:rsidRPr="000A3160">
        <w:rPr>
          <w:rFonts w:ascii="Arial" w:hAnsi="Arial" w:cs="Arial"/>
          <w:b/>
          <w:bCs/>
          <w:sz w:val="24"/>
        </w:rPr>
        <w:t xml:space="preserve"> w Uniwers</w:t>
      </w:r>
      <w:r w:rsidRPr="000A3160">
        <w:rPr>
          <w:rFonts w:ascii="Arial" w:hAnsi="Arial" w:cs="Arial"/>
          <w:b/>
          <w:bCs/>
          <w:sz w:val="24"/>
        </w:rPr>
        <w:t>y</w:t>
      </w:r>
      <w:r w:rsidRPr="000A3160">
        <w:rPr>
          <w:rFonts w:ascii="Arial" w:hAnsi="Arial" w:cs="Arial"/>
          <w:b/>
          <w:bCs/>
          <w:sz w:val="24"/>
        </w:rPr>
        <w:t xml:space="preserve">tecie Ekonomicznym w Katowicach </w:t>
      </w:r>
    </w:p>
    <w:p w:rsidR="001A6D46" w:rsidRPr="000A3160" w:rsidRDefault="001A6D46" w:rsidP="001A6D46">
      <w:pPr>
        <w:pStyle w:val="Default"/>
        <w:keepNext/>
        <w:widowControl w:val="0"/>
        <w:rPr>
          <w:rFonts w:ascii="Arial" w:hAnsi="Arial" w:cs="Arial"/>
          <w:b/>
          <w:bCs/>
          <w:color w:val="auto"/>
        </w:rPr>
      </w:pPr>
    </w:p>
    <w:p w:rsidR="001A6D46" w:rsidRPr="000A3160" w:rsidRDefault="001A6D46" w:rsidP="001A6D46">
      <w:pPr>
        <w:pStyle w:val="Default"/>
        <w:keepNext/>
        <w:widowControl w:val="0"/>
        <w:rPr>
          <w:rFonts w:ascii="Arial" w:hAnsi="Arial" w:cs="Arial"/>
          <w:color w:val="auto"/>
        </w:rPr>
      </w:pPr>
    </w:p>
    <w:p w:rsidR="001A6D46" w:rsidRPr="000A3160" w:rsidRDefault="001A6D46" w:rsidP="00952B72">
      <w:pPr>
        <w:pStyle w:val="Default"/>
        <w:keepNext/>
        <w:widowControl w:val="0"/>
        <w:jc w:val="both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bCs/>
          <w:color w:val="auto"/>
        </w:rPr>
        <w:t>Działając na podstawie art. 170 e, f, g ustawy z dnia 27 lipca 2005 r. – Prawo o szkolni</w:t>
      </w:r>
      <w:r w:rsidRPr="000A3160">
        <w:rPr>
          <w:rFonts w:ascii="Arial" w:hAnsi="Arial" w:cs="Arial"/>
          <w:bCs/>
          <w:color w:val="auto"/>
        </w:rPr>
        <w:t>c</w:t>
      </w:r>
      <w:r w:rsidRPr="000A3160">
        <w:rPr>
          <w:rFonts w:ascii="Arial" w:hAnsi="Arial" w:cs="Arial"/>
          <w:bCs/>
          <w:color w:val="auto"/>
        </w:rPr>
        <w:t>twie wyższym (</w:t>
      </w:r>
      <w:proofErr w:type="spellStart"/>
      <w:r w:rsidRPr="000A3160">
        <w:rPr>
          <w:rFonts w:ascii="Arial" w:hAnsi="Arial" w:cs="Arial"/>
          <w:bCs/>
          <w:color w:val="auto"/>
        </w:rPr>
        <w:t>jt</w:t>
      </w:r>
      <w:proofErr w:type="spellEnd"/>
      <w:r w:rsidRPr="000A3160">
        <w:rPr>
          <w:rFonts w:ascii="Arial" w:hAnsi="Arial" w:cs="Arial"/>
          <w:bCs/>
          <w:color w:val="auto"/>
        </w:rPr>
        <w:t xml:space="preserve">. Dz. U. z 2012 r., poz. 572 z </w:t>
      </w:r>
      <w:proofErr w:type="spellStart"/>
      <w:r w:rsidRPr="000A3160">
        <w:rPr>
          <w:rFonts w:ascii="Arial" w:hAnsi="Arial" w:cs="Arial"/>
          <w:bCs/>
          <w:color w:val="auto"/>
        </w:rPr>
        <w:t>późn</w:t>
      </w:r>
      <w:proofErr w:type="spellEnd"/>
      <w:r w:rsidRPr="000A3160">
        <w:rPr>
          <w:rFonts w:ascii="Arial" w:hAnsi="Arial" w:cs="Arial"/>
          <w:bCs/>
          <w:color w:val="auto"/>
        </w:rPr>
        <w:t xml:space="preserve">. zm.) </w:t>
      </w:r>
      <w:r w:rsidRPr="000A3160">
        <w:rPr>
          <w:rFonts w:ascii="Arial" w:hAnsi="Arial" w:cs="Arial"/>
          <w:color w:val="auto"/>
        </w:rPr>
        <w:t>Senat  uchwala, co następuje :</w:t>
      </w:r>
    </w:p>
    <w:p w:rsidR="001A6D46" w:rsidRPr="000A3160" w:rsidRDefault="001A6D46" w:rsidP="00952B72">
      <w:pPr>
        <w:pStyle w:val="Default"/>
        <w:keepNext/>
        <w:widowControl w:val="0"/>
        <w:jc w:val="both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color w:val="auto"/>
        </w:rPr>
        <w:t xml:space="preserve"> </w:t>
      </w:r>
    </w:p>
    <w:p w:rsidR="001A6D46" w:rsidRPr="000A3160" w:rsidRDefault="001A6D46" w:rsidP="001A6D46">
      <w:pPr>
        <w:pStyle w:val="Default"/>
        <w:keepNext/>
        <w:widowControl w:val="0"/>
        <w:jc w:val="center"/>
        <w:rPr>
          <w:rFonts w:ascii="Arial" w:hAnsi="Arial" w:cs="Arial"/>
          <w:color w:val="auto"/>
        </w:rPr>
      </w:pPr>
    </w:p>
    <w:p w:rsidR="001A6D46" w:rsidRPr="000A3160" w:rsidRDefault="001A6D46" w:rsidP="001A6D46">
      <w:pPr>
        <w:pStyle w:val="Default"/>
        <w:keepNext/>
        <w:widowControl w:val="0"/>
        <w:jc w:val="center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color w:val="auto"/>
        </w:rPr>
        <w:t>§ 1</w:t>
      </w:r>
    </w:p>
    <w:p w:rsidR="001A6D46" w:rsidRPr="000A3160" w:rsidRDefault="001A6D46" w:rsidP="001A6D46">
      <w:pPr>
        <w:pStyle w:val="Default"/>
        <w:keepNext/>
        <w:widowControl w:val="0"/>
        <w:jc w:val="center"/>
        <w:rPr>
          <w:rFonts w:ascii="Arial" w:hAnsi="Arial" w:cs="Arial"/>
          <w:color w:val="auto"/>
        </w:rPr>
      </w:pPr>
    </w:p>
    <w:p w:rsidR="001A6D46" w:rsidRPr="000A3160" w:rsidRDefault="001A6D46" w:rsidP="001A6D46">
      <w:pPr>
        <w:pStyle w:val="Style4"/>
        <w:keepNext/>
        <w:jc w:val="both"/>
        <w:rPr>
          <w:rFonts w:ascii="Arial" w:hAnsi="Arial" w:cs="Arial"/>
          <w:bCs/>
          <w:sz w:val="24"/>
        </w:rPr>
      </w:pPr>
      <w:r w:rsidRPr="000A3160">
        <w:rPr>
          <w:rFonts w:ascii="Arial" w:hAnsi="Arial" w:cs="Arial"/>
          <w:sz w:val="24"/>
        </w:rPr>
        <w:t xml:space="preserve">Senat uchwala Regulamin </w:t>
      </w:r>
      <w:r w:rsidRPr="000A3160">
        <w:rPr>
          <w:rFonts w:ascii="Arial" w:hAnsi="Arial" w:cs="Arial"/>
          <w:bCs/>
          <w:sz w:val="24"/>
        </w:rPr>
        <w:t>potwierdzania efektów uczenia się w Uniwersytecie Ekonomicznym  w  Katowicach,  b</w:t>
      </w:r>
      <w:r w:rsidRPr="000A3160">
        <w:rPr>
          <w:rFonts w:ascii="Arial" w:hAnsi="Arial" w:cs="Arial"/>
          <w:bCs/>
          <w:sz w:val="24"/>
        </w:rPr>
        <w:t>ę</w:t>
      </w:r>
      <w:r w:rsidRPr="000A3160">
        <w:rPr>
          <w:rFonts w:ascii="Arial" w:hAnsi="Arial" w:cs="Arial"/>
          <w:bCs/>
          <w:sz w:val="24"/>
        </w:rPr>
        <w:t>dący  załącznikiem  do  niniejszej  uchwały.</w:t>
      </w:r>
    </w:p>
    <w:p w:rsidR="001A6D46" w:rsidRPr="000A3160" w:rsidRDefault="001A6D46" w:rsidP="001A6D46">
      <w:pPr>
        <w:pStyle w:val="Style4"/>
        <w:keepNext/>
        <w:rPr>
          <w:rFonts w:ascii="Arial" w:hAnsi="Arial" w:cs="Arial"/>
          <w:b/>
          <w:bCs/>
          <w:sz w:val="24"/>
        </w:rPr>
      </w:pPr>
    </w:p>
    <w:p w:rsidR="001A6D46" w:rsidRPr="000A3160" w:rsidRDefault="001A6D46" w:rsidP="001A6D46">
      <w:pPr>
        <w:pStyle w:val="Default"/>
        <w:keepNext/>
        <w:widowControl w:val="0"/>
        <w:jc w:val="center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color w:val="auto"/>
        </w:rPr>
        <w:t>§ 2</w:t>
      </w:r>
    </w:p>
    <w:p w:rsidR="001A6D46" w:rsidRPr="000A3160" w:rsidRDefault="001A6D46" w:rsidP="001A6D46">
      <w:pPr>
        <w:pStyle w:val="Default"/>
        <w:keepNext/>
        <w:widowControl w:val="0"/>
        <w:jc w:val="center"/>
        <w:rPr>
          <w:rFonts w:ascii="Arial" w:hAnsi="Arial" w:cs="Arial"/>
          <w:color w:val="auto"/>
        </w:rPr>
      </w:pPr>
    </w:p>
    <w:p w:rsidR="001A6D46" w:rsidRPr="000A3160" w:rsidRDefault="001A6D46" w:rsidP="001A6D46">
      <w:pPr>
        <w:pStyle w:val="Default"/>
        <w:keepNext/>
        <w:widowControl w:val="0"/>
        <w:outlineLvl w:val="0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color w:val="auto"/>
        </w:rPr>
        <w:t xml:space="preserve">Uchwała wchodzi w życie od 1 października 2015 r. </w:t>
      </w:r>
    </w:p>
    <w:p w:rsidR="001A6D46" w:rsidRPr="000A3160" w:rsidRDefault="001A6D46" w:rsidP="001A6D46">
      <w:pPr>
        <w:pStyle w:val="Default"/>
        <w:keepNext/>
        <w:widowControl w:val="0"/>
        <w:rPr>
          <w:rFonts w:ascii="Arial" w:hAnsi="Arial" w:cs="Arial"/>
          <w:color w:val="auto"/>
        </w:rPr>
      </w:pPr>
    </w:p>
    <w:p w:rsidR="001A6D46" w:rsidRPr="000A3160" w:rsidRDefault="001A6D46" w:rsidP="001A6D46">
      <w:pPr>
        <w:pStyle w:val="Default"/>
        <w:keepNext/>
        <w:widowControl w:val="0"/>
        <w:rPr>
          <w:rFonts w:ascii="Arial" w:hAnsi="Arial" w:cs="Arial"/>
          <w:color w:val="auto"/>
        </w:rPr>
      </w:pPr>
    </w:p>
    <w:p w:rsidR="001A6D46" w:rsidRPr="000A3160" w:rsidRDefault="001A6D46" w:rsidP="001A6D46">
      <w:pPr>
        <w:pStyle w:val="Default"/>
        <w:keepNext/>
        <w:widowControl w:val="0"/>
        <w:rPr>
          <w:rFonts w:ascii="Arial" w:hAnsi="Arial" w:cs="Arial"/>
          <w:color w:val="auto"/>
        </w:rPr>
      </w:pPr>
    </w:p>
    <w:p w:rsidR="001A6D46" w:rsidRPr="000A3160" w:rsidRDefault="00B2149D" w:rsidP="001A6D46">
      <w:pPr>
        <w:pStyle w:val="Default"/>
        <w:keepNext/>
        <w:widowControl w:val="0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  <w:t xml:space="preserve">Przewodniczący Senatu </w:t>
      </w:r>
    </w:p>
    <w:p w:rsidR="00B2149D" w:rsidRPr="000A3160" w:rsidRDefault="00B2149D" w:rsidP="001A6D46">
      <w:pPr>
        <w:pStyle w:val="Default"/>
        <w:keepNext/>
        <w:widowControl w:val="0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  <w:t xml:space="preserve">   Rektor </w:t>
      </w:r>
      <w:r w:rsidRPr="000A3160">
        <w:rPr>
          <w:rFonts w:ascii="Arial" w:hAnsi="Arial" w:cs="Arial"/>
          <w:color w:val="auto"/>
        </w:rPr>
        <w:br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</w:p>
    <w:p w:rsidR="00B2149D" w:rsidRPr="000A3160" w:rsidRDefault="00B2149D" w:rsidP="001A6D46">
      <w:pPr>
        <w:pStyle w:val="Default"/>
        <w:keepNext/>
        <w:widowControl w:val="0"/>
        <w:rPr>
          <w:rFonts w:ascii="Arial" w:hAnsi="Arial" w:cs="Arial"/>
          <w:color w:val="auto"/>
        </w:rPr>
      </w:pP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</w:r>
      <w:r w:rsidRPr="000A3160">
        <w:rPr>
          <w:rFonts w:ascii="Arial" w:hAnsi="Arial" w:cs="Arial"/>
          <w:color w:val="auto"/>
        </w:rPr>
        <w:tab/>
        <w:t xml:space="preserve">        prof. dr hab. Leszek Żabiński</w:t>
      </w:r>
    </w:p>
    <w:p w:rsidR="001A6D46" w:rsidRPr="000A3160" w:rsidRDefault="001A6D46" w:rsidP="001A6D46">
      <w:pPr>
        <w:rPr>
          <w:rFonts w:ascii="Arial" w:hAnsi="Arial" w:cs="Arial"/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Default="00B2149D" w:rsidP="001A6D46">
      <w:pPr>
        <w:rPr>
          <w:sz w:val="22"/>
          <w:szCs w:val="22"/>
        </w:rPr>
      </w:pPr>
    </w:p>
    <w:p w:rsidR="00B2149D" w:rsidRPr="00AB6E9D" w:rsidRDefault="00B2149D" w:rsidP="001A6D46">
      <w:pPr>
        <w:rPr>
          <w:sz w:val="22"/>
          <w:szCs w:val="22"/>
        </w:rPr>
      </w:pPr>
    </w:p>
    <w:p w:rsidR="00AD76C2" w:rsidRDefault="00AD76C2" w:rsidP="00025FD1">
      <w:pPr>
        <w:pStyle w:val="Style1"/>
        <w:keepNext/>
        <w:tabs>
          <w:tab w:val="left" w:pos="2547"/>
        </w:tabs>
        <w:spacing w:line="240" w:lineRule="auto"/>
        <w:jc w:val="right"/>
        <w:rPr>
          <w:rFonts w:ascii="Cambria" w:hAnsi="Cambria"/>
          <w:b/>
          <w:bCs/>
          <w:sz w:val="24"/>
        </w:rPr>
      </w:pPr>
    </w:p>
    <w:p w:rsidR="001B054D" w:rsidRPr="000A3160" w:rsidRDefault="001B054D" w:rsidP="000A3160">
      <w:pPr>
        <w:pStyle w:val="Default"/>
        <w:keepNext/>
        <w:widowControl w:val="0"/>
        <w:jc w:val="right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 w:rsidR="00AD76C2">
        <w:rPr>
          <w:rFonts w:ascii="Cambria" w:hAnsi="Cambria"/>
          <w:color w:val="auto"/>
        </w:rPr>
        <w:tab/>
      </w:r>
      <w:r w:rsidR="00065F19" w:rsidRPr="000A3160">
        <w:rPr>
          <w:rFonts w:ascii="Cambria" w:hAnsi="Cambria"/>
          <w:color w:val="auto"/>
          <w:sz w:val="18"/>
          <w:szCs w:val="18"/>
        </w:rPr>
        <w:t xml:space="preserve"> </w:t>
      </w:r>
      <w:r w:rsidR="00AD76C2" w:rsidRPr="000A3160">
        <w:rPr>
          <w:rFonts w:ascii="Cambria" w:hAnsi="Cambria"/>
          <w:color w:val="auto"/>
          <w:sz w:val="18"/>
          <w:szCs w:val="18"/>
        </w:rPr>
        <w:t>Załąc</w:t>
      </w:r>
      <w:r w:rsidR="000A3160" w:rsidRPr="000A3160">
        <w:rPr>
          <w:rFonts w:ascii="Cambria" w:hAnsi="Cambria"/>
          <w:color w:val="auto"/>
          <w:sz w:val="18"/>
          <w:szCs w:val="18"/>
        </w:rPr>
        <w:t>znik do Uchwały nr   74</w:t>
      </w:r>
      <w:r w:rsidR="00AA4A71" w:rsidRPr="000A3160">
        <w:rPr>
          <w:rFonts w:ascii="Cambria" w:hAnsi="Cambria"/>
          <w:color w:val="auto"/>
          <w:sz w:val="18"/>
          <w:szCs w:val="18"/>
        </w:rPr>
        <w:t>/</w:t>
      </w:r>
      <w:r w:rsidRPr="000A3160">
        <w:rPr>
          <w:rFonts w:ascii="Cambria" w:hAnsi="Cambria"/>
          <w:color w:val="auto"/>
          <w:sz w:val="18"/>
          <w:szCs w:val="18"/>
        </w:rPr>
        <w:t>2014/2015</w:t>
      </w:r>
      <w:r w:rsidR="000A3160" w:rsidRPr="000A3160">
        <w:rPr>
          <w:rFonts w:ascii="Cambria" w:hAnsi="Cambria"/>
          <w:color w:val="auto"/>
          <w:sz w:val="18"/>
          <w:szCs w:val="18"/>
        </w:rPr>
        <w:t xml:space="preserve"> Senatu Uniwersytetu Ekonomicznego w Katowicach </w:t>
      </w:r>
      <w:r w:rsidR="000A3160">
        <w:rPr>
          <w:rFonts w:ascii="Cambria" w:hAnsi="Cambria"/>
          <w:color w:val="auto"/>
          <w:sz w:val="18"/>
          <w:szCs w:val="18"/>
        </w:rPr>
        <w:t xml:space="preserve">z dnia 25 czerwca 2015r. </w:t>
      </w:r>
    </w:p>
    <w:p w:rsidR="001B054D" w:rsidRDefault="001B054D" w:rsidP="001B054D">
      <w:pPr>
        <w:pStyle w:val="Default"/>
        <w:keepNext/>
        <w:widowControl w:val="0"/>
        <w:jc w:val="center"/>
        <w:rPr>
          <w:rFonts w:ascii="Cambria" w:hAnsi="Cambria"/>
          <w:b/>
          <w:bCs/>
        </w:rPr>
      </w:pPr>
    </w:p>
    <w:p w:rsidR="001B054D" w:rsidRDefault="001B054D" w:rsidP="001A6D46">
      <w:pPr>
        <w:pStyle w:val="Default"/>
        <w:keepNext/>
        <w:widowControl w:val="0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Regulaminu </w:t>
      </w:r>
      <w:r w:rsidRPr="000C768D">
        <w:rPr>
          <w:rFonts w:ascii="Cambria" w:hAnsi="Cambria"/>
          <w:b/>
          <w:bCs/>
        </w:rPr>
        <w:t>potwierdzania efektów uczenia się</w:t>
      </w:r>
    </w:p>
    <w:p w:rsidR="001B054D" w:rsidRDefault="001B054D" w:rsidP="001B054D">
      <w:pPr>
        <w:pStyle w:val="Default"/>
        <w:keepNext/>
        <w:widowControl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 Uniwersytecie Ekonomicznym </w:t>
      </w:r>
    </w:p>
    <w:p w:rsidR="001B054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>
        <w:rPr>
          <w:rFonts w:ascii="Cambria" w:hAnsi="Cambria"/>
          <w:b/>
          <w:bCs/>
        </w:rPr>
        <w:t>w Katowicach</w:t>
      </w:r>
    </w:p>
    <w:p w:rsidR="001B054D" w:rsidRDefault="001B054D" w:rsidP="001B054D">
      <w:pPr>
        <w:pStyle w:val="Default"/>
        <w:keepNext/>
        <w:widowControl w:val="0"/>
        <w:rPr>
          <w:rFonts w:ascii="Cambria" w:hAnsi="Cambria"/>
          <w:color w:val="auto"/>
        </w:rPr>
      </w:pPr>
    </w:p>
    <w:p w:rsidR="001B054D" w:rsidRPr="00DA17D1" w:rsidRDefault="001B054D" w:rsidP="004A34F5">
      <w:pPr>
        <w:pStyle w:val="Default"/>
        <w:keepNext/>
        <w:widowControl w:val="0"/>
        <w:jc w:val="center"/>
        <w:rPr>
          <w:rFonts w:ascii="Cambria" w:hAnsi="Cambria"/>
          <w:bCs/>
          <w:color w:val="auto"/>
        </w:rPr>
      </w:pPr>
      <w:r>
        <w:rPr>
          <w:rFonts w:ascii="Cambria" w:hAnsi="Cambria"/>
          <w:color w:val="auto"/>
        </w:rPr>
        <w:t>Niniejszy regulamin określa org</w:t>
      </w:r>
      <w:r w:rsidRPr="00DA17D1">
        <w:rPr>
          <w:rFonts w:ascii="Cambria" w:hAnsi="Cambria"/>
          <w:color w:val="auto"/>
        </w:rPr>
        <w:t>anizację potwierdzania efektów uczenia się zgodnie</w:t>
      </w:r>
      <w:r w:rsidR="004A34F5">
        <w:rPr>
          <w:rFonts w:ascii="Cambria" w:hAnsi="Cambria"/>
          <w:color w:val="auto"/>
        </w:rPr>
        <w:t xml:space="preserve"> </w:t>
      </w:r>
      <w:r w:rsidRPr="00DA17D1">
        <w:rPr>
          <w:rFonts w:ascii="Cambria" w:hAnsi="Cambria"/>
          <w:color w:val="auto"/>
        </w:rPr>
        <w:t xml:space="preserve">z ustawą </w:t>
      </w:r>
      <w:r w:rsidRPr="00DA17D1">
        <w:rPr>
          <w:rFonts w:ascii="Cambria" w:hAnsi="Cambria"/>
          <w:bCs/>
          <w:color w:val="auto"/>
        </w:rPr>
        <w:t>z dnia 27 lipca 2005 r. – Prawo o szkolni</w:t>
      </w:r>
      <w:r w:rsidRPr="00DA17D1">
        <w:rPr>
          <w:rFonts w:ascii="Cambria" w:hAnsi="Cambria"/>
          <w:bCs/>
          <w:color w:val="auto"/>
        </w:rPr>
        <w:t>c</w:t>
      </w:r>
      <w:r w:rsidRPr="00DA17D1">
        <w:rPr>
          <w:rFonts w:ascii="Cambria" w:hAnsi="Cambria"/>
          <w:bCs/>
          <w:color w:val="auto"/>
        </w:rPr>
        <w:t>twie wyższym (</w:t>
      </w:r>
      <w:proofErr w:type="spellStart"/>
      <w:r w:rsidRPr="00DA17D1">
        <w:rPr>
          <w:rFonts w:ascii="Cambria" w:hAnsi="Cambria"/>
          <w:bCs/>
          <w:color w:val="auto"/>
        </w:rPr>
        <w:t>jt</w:t>
      </w:r>
      <w:proofErr w:type="spellEnd"/>
      <w:r w:rsidRPr="00DA17D1">
        <w:rPr>
          <w:rFonts w:ascii="Cambria" w:hAnsi="Cambria"/>
          <w:bCs/>
          <w:color w:val="auto"/>
        </w:rPr>
        <w:t>. Dz. U. z 2012 r.,</w:t>
      </w:r>
      <w:r>
        <w:rPr>
          <w:rFonts w:ascii="Cambria" w:hAnsi="Cambria"/>
          <w:bCs/>
          <w:color w:val="auto"/>
        </w:rPr>
        <w:br/>
      </w:r>
      <w:r w:rsidRPr="00DA17D1">
        <w:rPr>
          <w:rFonts w:ascii="Cambria" w:hAnsi="Cambria"/>
          <w:bCs/>
          <w:color w:val="auto"/>
        </w:rPr>
        <w:t xml:space="preserve">poz. 572 z </w:t>
      </w:r>
      <w:proofErr w:type="spellStart"/>
      <w:r w:rsidRPr="00DA17D1">
        <w:rPr>
          <w:rFonts w:ascii="Cambria" w:hAnsi="Cambria"/>
          <w:bCs/>
          <w:color w:val="auto"/>
        </w:rPr>
        <w:t>późn</w:t>
      </w:r>
      <w:proofErr w:type="spellEnd"/>
      <w:r w:rsidRPr="00DA17D1">
        <w:rPr>
          <w:rFonts w:ascii="Cambria" w:hAnsi="Cambria"/>
          <w:bCs/>
          <w:color w:val="auto"/>
        </w:rPr>
        <w:t>. zm</w:t>
      </w:r>
      <w:r>
        <w:rPr>
          <w:rFonts w:ascii="Cambria" w:hAnsi="Cambria"/>
          <w:bCs/>
          <w:color w:val="auto"/>
        </w:rPr>
        <w:t>.</w:t>
      </w:r>
      <w:r w:rsidRPr="00DA17D1">
        <w:rPr>
          <w:rFonts w:ascii="Cambria" w:hAnsi="Cambria"/>
          <w:bCs/>
          <w:color w:val="auto"/>
        </w:rPr>
        <w:t>).</w:t>
      </w:r>
    </w:p>
    <w:p w:rsidR="001B054D" w:rsidRPr="00DA17D1" w:rsidRDefault="001B054D" w:rsidP="001B054D">
      <w:pPr>
        <w:pStyle w:val="Default"/>
        <w:keepNext/>
        <w:widowControl w:val="0"/>
        <w:rPr>
          <w:rFonts w:ascii="Cambria" w:hAnsi="Cambria"/>
          <w:color w:val="auto"/>
        </w:rPr>
      </w:pPr>
      <w:r w:rsidRPr="00DA17D1">
        <w:rPr>
          <w:rFonts w:ascii="Cambria" w:hAnsi="Cambria"/>
          <w:color w:val="auto"/>
        </w:rPr>
        <w:t xml:space="preserve"> </w:t>
      </w:r>
    </w:p>
    <w:p w:rsidR="001B054D" w:rsidRDefault="001B054D" w:rsidP="00A21B70">
      <w:pPr>
        <w:pStyle w:val="Default"/>
        <w:keepNext/>
        <w:widowControl w:val="0"/>
        <w:rPr>
          <w:rFonts w:ascii="Cambria" w:hAnsi="Cambria"/>
          <w:color w:val="auto"/>
        </w:rPr>
      </w:pPr>
    </w:p>
    <w:p w:rsidR="001B054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</w:t>
      </w:r>
      <w:r>
        <w:rPr>
          <w:rFonts w:ascii="Cambria" w:hAnsi="Cambria"/>
          <w:color w:val="auto"/>
        </w:rPr>
        <w:t xml:space="preserve"> 1 </w:t>
      </w:r>
    </w:p>
    <w:p w:rsidR="00C24C31" w:rsidRPr="00C24C31" w:rsidRDefault="00C24C31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Pr="000C768D" w:rsidRDefault="001B054D" w:rsidP="001B054D">
      <w:pPr>
        <w:pStyle w:val="Default"/>
        <w:keepNext/>
        <w:widowControl w:val="0"/>
        <w:jc w:val="both"/>
        <w:rPr>
          <w:rFonts w:ascii="Cambria" w:hAnsi="Cambria"/>
          <w:bCs/>
          <w:color w:val="auto"/>
        </w:rPr>
      </w:pPr>
      <w:r>
        <w:rPr>
          <w:rFonts w:ascii="Cambria" w:hAnsi="Cambria"/>
          <w:bCs/>
          <w:color w:val="auto"/>
        </w:rPr>
        <w:t>I</w:t>
      </w:r>
      <w:r w:rsidRPr="000C768D">
        <w:rPr>
          <w:rFonts w:ascii="Cambria" w:hAnsi="Cambria"/>
          <w:bCs/>
          <w:color w:val="auto"/>
        </w:rPr>
        <w:t>lekroć w Uchwale mowa jest o: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>Uniwersytecie – należy przez to rozumieć Uniwersytet Ekonomiczny w Katowicach;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>studiach – studia pierwszego stopnia oraz studia drugiego sto</w:t>
      </w:r>
      <w:r w:rsidRPr="000C768D">
        <w:rPr>
          <w:rFonts w:ascii="Cambria" w:hAnsi="Cambria"/>
          <w:bCs/>
          <w:color w:val="auto"/>
        </w:rPr>
        <w:t>p</w:t>
      </w:r>
      <w:r w:rsidRPr="000C768D">
        <w:rPr>
          <w:rFonts w:ascii="Cambria" w:hAnsi="Cambria"/>
          <w:bCs/>
          <w:color w:val="auto"/>
        </w:rPr>
        <w:t>nia;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>efektach uczenia się – zasób wiedzy, umiejętności i kompetencji społecznych uzysk</w:t>
      </w:r>
      <w:r w:rsidRPr="000C768D">
        <w:rPr>
          <w:rFonts w:ascii="Cambria" w:hAnsi="Cambria"/>
          <w:bCs/>
          <w:color w:val="auto"/>
        </w:rPr>
        <w:t>a</w:t>
      </w:r>
      <w:r w:rsidRPr="000C768D">
        <w:rPr>
          <w:rFonts w:ascii="Cambria" w:hAnsi="Cambria"/>
          <w:bCs/>
          <w:color w:val="auto"/>
        </w:rPr>
        <w:t>nych w procesie uczenia się poza systemem st</w:t>
      </w:r>
      <w:r w:rsidRPr="000C768D">
        <w:rPr>
          <w:rFonts w:ascii="Cambria" w:hAnsi="Cambria"/>
          <w:bCs/>
          <w:color w:val="auto"/>
        </w:rPr>
        <w:t>u</w:t>
      </w:r>
      <w:r w:rsidRPr="000C768D">
        <w:rPr>
          <w:rFonts w:ascii="Cambria" w:hAnsi="Cambria"/>
          <w:bCs/>
          <w:color w:val="auto"/>
        </w:rPr>
        <w:t>diów;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 xml:space="preserve">potwierdzaniu efektów uczenia się – </w:t>
      </w:r>
      <w:r w:rsidRPr="000C768D">
        <w:rPr>
          <w:rFonts w:ascii="Cambria" w:hAnsi="Cambria"/>
          <w:color w:val="auto"/>
        </w:rPr>
        <w:t>formalny proces weryfikacji posiadanych efe</w:t>
      </w:r>
      <w:r w:rsidRPr="000C768D">
        <w:rPr>
          <w:rFonts w:ascii="Cambria" w:hAnsi="Cambria"/>
          <w:color w:val="auto"/>
        </w:rPr>
        <w:t>k</w:t>
      </w:r>
      <w:r w:rsidRPr="000C768D">
        <w:rPr>
          <w:rFonts w:ascii="Cambria" w:hAnsi="Cambria"/>
          <w:color w:val="auto"/>
        </w:rPr>
        <w:t>tów uczenia się zorganizowanego instytucjonalnie poza systemem studiów oraz ucz</w:t>
      </w:r>
      <w:r w:rsidRPr="000C768D">
        <w:rPr>
          <w:rFonts w:ascii="Cambria" w:hAnsi="Cambria"/>
          <w:color w:val="auto"/>
        </w:rPr>
        <w:t>e</w:t>
      </w:r>
      <w:r w:rsidRPr="000C768D">
        <w:rPr>
          <w:rFonts w:ascii="Cambria" w:hAnsi="Cambria"/>
          <w:color w:val="auto"/>
        </w:rPr>
        <w:t>nia się niezorganizowanego instytucjonalnie, realizowanego w sposób i metodami zwiększającymi zasób wiedzy, umiejętności i komp</w:t>
      </w:r>
      <w:r w:rsidRPr="000C768D">
        <w:rPr>
          <w:rFonts w:ascii="Cambria" w:hAnsi="Cambria"/>
          <w:color w:val="auto"/>
        </w:rPr>
        <w:t>e</w:t>
      </w:r>
      <w:r w:rsidR="00B646FD">
        <w:rPr>
          <w:rFonts w:ascii="Cambria" w:hAnsi="Cambria"/>
          <w:color w:val="auto"/>
        </w:rPr>
        <w:t>tencji społecznych;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>kandydacie – osobę ubiegającą się o potwierdzenie efe</w:t>
      </w:r>
      <w:r w:rsidRPr="000C768D">
        <w:rPr>
          <w:rFonts w:ascii="Cambria" w:hAnsi="Cambria"/>
          <w:bCs/>
          <w:color w:val="auto"/>
        </w:rPr>
        <w:t>k</w:t>
      </w:r>
      <w:r w:rsidRPr="000C768D">
        <w:rPr>
          <w:rFonts w:ascii="Cambria" w:hAnsi="Cambria"/>
          <w:bCs/>
          <w:color w:val="auto"/>
        </w:rPr>
        <w:t>tów uczenia się.</w:t>
      </w:r>
    </w:p>
    <w:p w:rsidR="001B054D" w:rsidRPr="000C768D" w:rsidRDefault="001B054D" w:rsidP="001B054D">
      <w:pPr>
        <w:pStyle w:val="Default"/>
        <w:keepNext/>
        <w:widowControl w:val="0"/>
        <w:ind w:left="426"/>
        <w:jc w:val="both"/>
        <w:rPr>
          <w:rFonts w:ascii="Cambria" w:hAnsi="Cambria"/>
          <w:bCs/>
          <w:color w:val="auto"/>
        </w:rPr>
      </w:pP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2</w:t>
      </w:r>
    </w:p>
    <w:p w:rsidR="001B054D" w:rsidRPr="00C24C31" w:rsidRDefault="001B054D" w:rsidP="001B054D">
      <w:pPr>
        <w:pStyle w:val="Default"/>
        <w:keepNext/>
        <w:widowControl w:val="0"/>
        <w:ind w:left="426"/>
        <w:jc w:val="both"/>
        <w:rPr>
          <w:rFonts w:ascii="Cambria" w:hAnsi="Cambria"/>
          <w:bCs/>
          <w:color w:val="auto"/>
          <w:sz w:val="20"/>
          <w:szCs w:val="20"/>
        </w:rPr>
      </w:pPr>
    </w:p>
    <w:p w:rsidR="001B054D" w:rsidRPr="000C768D" w:rsidRDefault="001B054D" w:rsidP="001B054D">
      <w:pPr>
        <w:pStyle w:val="Default"/>
        <w:keepNext/>
        <w:widowControl w:val="0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>Uniwersytet ma prawo do potwierdzenia</w:t>
      </w:r>
      <w:r>
        <w:rPr>
          <w:rFonts w:ascii="Cambria" w:hAnsi="Cambria"/>
          <w:bCs/>
          <w:color w:val="auto"/>
        </w:rPr>
        <w:t>, na wniosek kandydata,</w:t>
      </w:r>
      <w:r w:rsidRPr="000C768D">
        <w:rPr>
          <w:rFonts w:ascii="Cambria" w:hAnsi="Cambria"/>
          <w:bCs/>
          <w:color w:val="auto"/>
        </w:rPr>
        <w:t xml:space="preserve"> efektów uczenia się uz</w:t>
      </w:r>
      <w:r w:rsidRPr="000C768D">
        <w:rPr>
          <w:rFonts w:ascii="Cambria" w:hAnsi="Cambria"/>
          <w:bCs/>
          <w:color w:val="auto"/>
        </w:rPr>
        <w:t>y</w:t>
      </w:r>
      <w:r w:rsidRPr="000C768D">
        <w:rPr>
          <w:rFonts w:ascii="Cambria" w:hAnsi="Cambria"/>
          <w:bCs/>
          <w:color w:val="auto"/>
        </w:rPr>
        <w:t>skanych przez kandydata i do przyjęcia go na studia z jednoczesnym zaliczeniem części programu kształcenia, właściwej przedmiotom/modułom odpowiadającym potwierdz</w:t>
      </w:r>
      <w:r w:rsidRPr="000C768D">
        <w:rPr>
          <w:rFonts w:ascii="Cambria" w:hAnsi="Cambria"/>
          <w:bCs/>
          <w:color w:val="auto"/>
        </w:rPr>
        <w:t>o</w:t>
      </w:r>
      <w:r w:rsidRPr="000C768D">
        <w:rPr>
          <w:rFonts w:ascii="Cambria" w:hAnsi="Cambria"/>
          <w:bCs/>
          <w:color w:val="auto"/>
        </w:rPr>
        <w:t>nym efektom uczenia się, z zastrz</w:t>
      </w:r>
      <w:r w:rsidRPr="000C768D">
        <w:rPr>
          <w:rFonts w:ascii="Cambria" w:hAnsi="Cambria"/>
          <w:bCs/>
          <w:color w:val="auto"/>
        </w:rPr>
        <w:t>e</w:t>
      </w:r>
      <w:r w:rsidRPr="000C768D">
        <w:rPr>
          <w:rFonts w:ascii="Cambria" w:hAnsi="Cambria"/>
          <w:bCs/>
          <w:color w:val="auto"/>
        </w:rPr>
        <w:t xml:space="preserve">żeniem </w:t>
      </w:r>
      <w:r w:rsidRPr="000C768D">
        <w:rPr>
          <w:rFonts w:ascii="Cambria" w:hAnsi="Cambria"/>
          <w:color w:val="auto"/>
        </w:rPr>
        <w:t>§</w:t>
      </w:r>
      <w:r>
        <w:rPr>
          <w:rFonts w:ascii="Cambria" w:hAnsi="Cambria"/>
          <w:color w:val="auto"/>
        </w:rPr>
        <w:t xml:space="preserve"> </w:t>
      </w:r>
      <w:r w:rsidRPr="000C768D">
        <w:rPr>
          <w:rFonts w:ascii="Cambria" w:hAnsi="Cambria"/>
          <w:bCs/>
          <w:color w:val="auto"/>
        </w:rPr>
        <w:t>4.</w:t>
      </w: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3</w:t>
      </w:r>
    </w:p>
    <w:p w:rsidR="001B054D" w:rsidRPr="00C24C31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6"/>
        </w:numPr>
        <w:ind w:left="426" w:hanging="426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 xml:space="preserve">Kandydat ma </w:t>
      </w:r>
      <w:r>
        <w:rPr>
          <w:rFonts w:ascii="Cambria" w:hAnsi="Cambria"/>
          <w:bCs/>
          <w:color w:val="auto"/>
        </w:rPr>
        <w:t xml:space="preserve">możliwość ubiegania się o </w:t>
      </w:r>
      <w:r w:rsidRPr="000A3160">
        <w:rPr>
          <w:rFonts w:ascii="Cambria" w:hAnsi="Cambria"/>
          <w:bCs/>
          <w:color w:val="auto"/>
        </w:rPr>
        <w:t>potwierdzeni</w:t>
      </w:r>
      <w:r w:rsidR="00C55DFF" w:rsidRPr="000A3160">
        <w:rPr>
          <w:rFonts w:ascii="Cambria" w:hAnsi="Cambria"/>
          <w:bCs/>
          <w:color w:val="auto"/>
        </w:rPr>
        <w:t>e</w:t>
      </w:r>
      <w:r w:rsidRPr="000C768D">
        <w:rPr>
          <w:rFonts w:ascii="Cambria" w:hAnsi="Cambria"/>
          <w:bCs/>
          <w:color w:val="auto"/>
        </w:rPr>
        <w:t xml:space="preserve"> efektów uczenia się w zakresie o</w:t>
      </w:r>
      <w:r w:rsidRPr="000C768D">
        <w:rPr>
          <w:rFonts w:ascii="Cambria" w:hAnsi="Cambria"/>
          <w:bCs/>
          <w:color w:val="auto"/>
        </w:rPr>
        <w:t>d</w:t>
      </w:r>
      <w:r w:rsidRPr="000C768D">
        <w:rPr>
          <w:rFonts w:ascii="Cambria" w:hAnsi="Cambria"/>
          <w:bCs/>
          <w:color w:val="auto"/>
        </w:rPr>
        <w:t>powiadającym efektom kształcenia zawartym w programie kształcenia określonego kierunku, poziomu i profilu kszta</w:t>
      </w:r>
      <w:r w:rsidR="0033504B">
        <w:rPr>
          <w:rFonts w:ascii="Cambria" w:hAnsi="Cambria"/>
          <w:bCs/>
          <w:color w:val="auto"/>
        </w:rPr>
        <w:t>łcenia, z zastrzeżeniem ust. 2-5</w:t>
      </w:r>
      <w:r w:rsidRPr="000C768D">
        <w:rPr>
          <w:rFonts w:ascii="Cambria" w:hAnsi="Cambria"/>
          <w:bCs/>
          <w:color w:val="auto"/>
        </w:rPr>
        <w:t>.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6"/>
        </w:numPr>
        <w:ind w:left="426" w:hanging="426"/>
        <w:jc w:val="both"/>
        <w:rPr>
          <w:rFonts w:ascii="Cambria" w:hAnsi="Cambria"/>
          <w:bCs/>
          <w:color w:val="auto"/>
        </w:rPr>
      </w:pPr>
      <w:r w:rsidRPr="000C768D">
        <w:rPr>
          <w:rFonts w:ascii="Cambria" w:hAnsi="Cambria"/>
          <w:bCs/>
          <w:color w:val="auto"/>
        </w:rPr>
        <w:t>Potwierdzanie efektów uczenia się może być przeprowadzane przez wydział posiad</w:t>
      </w:r>
      <w:r w:rsidRPr="000C768D">
        <w:rPr>
          <w:rFonts w:ascii="Cambria" w:hAnsi="Cambria"/>
          <w:bCs/>
          <w:color w:val="auto"/>
        </w:rPr>
        <w:t>a</w:t>
      </w:r>
      <w:r w:rsidRPr="000C768D">
        <w:rPr>
          <w:rFonts w:ascii="Cambria" w:hAnsi="Cambria"/>
          <w:bCs/>
          <w:color w:val="auto"/>
        </w:rPr>
        <w:t>jący co najmniej pozytywną ocenę programową na danym kierunku, poziomie i profilu kształcenia, a w przypadku nieprzeprowadzenia oceny na tym kierunku studiów – jeśli wydział posiada uprawnienie do nadawania stopnia naukowego doktora w zakresie obszaru kształcenia i dziedziny, do których przyporządkowany jest ten kierunek st</w:t>
      </w:r>
      <w:r w:rsidRPr="000C768D">
        <w:rPr>
          <w:rFonts w:ascii="Cambria" w:hAnsi="Cambria"/>
          <w:bCs/>
          <w:color w:val="auto"/>
        </w:rPr>
        <w:t>u</w:t>
      </w:r>
      <w:r w:rsidRPr="000C768D">
        <w:rPr>
          <w:rFonts w:ascii="Cambria" w:hAnsi="Cambria"/>
          <w:bCs/>
          <w:color w:val="auto"/>
        </w:rPr>
        <w:t>diów.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7"/>
        </w:numPr>
        <w:ind w:left="357" w:hanging="357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Efekty uczenia się mogą zostać potwierdzone osobie posiadającej: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2"/>
        </w:numPr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 xml:space="preserve">świadectwo dojrzałości i co najmniej pięć lat doświadczenia zawodowego </w:t>
      </w:r>
      <w:r w:rsidR="00880FF9">
        <w:rPr>
          <w:rFonts w:ascii="Cambria" w:hAnsi="Cambria"/>
          <w:color w:val="auto"/>
        </w:rPr>
        <w:t xml:space="preserve">                         </w:t>
      </w:r>
      <w:r w:rsidRPr="000C768D">
        <w:rPr>
          <w:rFonts w:ascii="Cambria" w:hAnsi="Cambria"/>
          <w:color w:val="auto"/>
        </w:rPr>
        <w:t>– w prz</w:t>
      </w:r>
      <w:r w:rsidRPr="000C768D">
        <w:rPr>
          <w:rFonts w:ascii="Cambria" w:hAnsi="Cambria"/>
          <w:color w:val="auto"/>
        </w:rPr>
        <w:t>y</w:t>
      </w:r>
      <w:r w:rsidRPr="000C768D">
        <w:rPr>
          <w:rFonts w:ascii="Cambria" w:hAnsi="Cambria"/>
          <w:color w:val="auto"/>
        </w:rPr>
        <w:t>padku ubiegania się o przyjęc</w:t>
      </w:r>
      <w:r>
        <w:rPr>
          <w:rFonts w:ascii="Cambria" w:hAnsi="Cambria"/>
          <w:color w:val="auto"/>
        </w:rPr>
        <w:t>ie na studia pierwszego stopnia,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2"/>
        </w:numPr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tytuł zawodowy licencjata lub równorzędny i co najmniej trzy lata doświadczenia zawodowego po ukończeniu studiów pierwszego stopnia – w przypadku ubiegania się o przyjęcie na studia drugi</w:t>
      </w:r>
      <w:r w:rsidRPr="000C768D">
        <w:rPr>
          <w:rFonts w:ascii="Cambria" w:hAnsi="Cambria"/>
          <w:color w:val="auto"/>
        </w:rPr>
        <w:t>e</w:t>
      </w:r>
      <w:r>
        <w:rPr>
          <w:rFonts w:ascii="Cambria" w:hAnsi="Cambria"/>
          <w:color w:val="auto"/>
        </w:rPr>
        <w:t>go stopnia,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2"/>
        </w:numPr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tytuł zawodowy magistra lub równorzędny i co najmniej dwa lata doświadczenia zawodowego po ukończeniu studiów drugiego stopnia albo jednolitych studiów m</w:t>
      </w:r>
      <w:r w:rsidRPr="000C768D">
        <w:rPr>
          <w:rFonts w:ascii="Cambria" w:hAnsi="Cambria"/>
          <w:color w:val="auto"/>
        </w:rPr>
        <w:t>a</w:t>
      </w:r>
      <w:r w:rsidRPr="000C768D">
        <w:rPr>
          <w:rFonts w:ascii="Cambria" w:hAnsi="Cambria"/>
          <w:color w:val="auto"/>
        </w:rPr>
        <w:t>gisterskich – w przypadku ubiegania się o przyjęcie na kolejny kierunek studiów pierwszego lub drugiego stopnia.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lastRenderedPageBreak/>
        <w:t>W przypadku absolwentów kolegiów nauczycielskich, nauczycielskich kolegiów jęz</w:t>
      </w:r>
      <w:r w:rsidRPr="000C768D">
        <w:rPr>
          <w:rFonts w:ascii="Cambria" w:hAnsi="Cambria"/>
          <w:color w:val="auto"/>
        </w:rPr>
        <w:t>y</w:t>
      </w:r>
      <w:r w:rsidRPr="000C768D">
        <w:rPr>
          <w:rFonts w:ascii="Cambria" w:hAnsi="Cambria"/>
          <w:color w:val="auto"/>
        </w:rPr>
        <w:t>ków obcych oraz kolegiów pracowników służb społecznych przystępujących do p</w:t>
      </w:r>
      <w:r w:rsidRPr="000C768D">
        <w:rPr>
          <w:rFonts w:ascii="Cambria" w:hAnsi="Cambria"/>
          <w:color w:val="auto"/>
        </w:rPr>
        <w:t>o</w:t>
      </w:r>
      <w:r w:rsidRPr="000C768D">
        <w:rPr>
          <w:rFonts w:ascii="Cambria" w:hAnsi="Cambria"/>
          <w:color w:val="auto"/>
        </w:rPr>
        <w:t>twierdzenia efektów uczenia się</w:t>
      </w:r>
      <w:r>
        <w:rPr>
          <w:rFonts w:ascii="Cambria" w:hAnsi="Cambria"/>
          <w:color w:val="auto"/>
        </w:rPr>
        <w:t>,</w:t>
      </w:r>
      <w:r w:rsidRPr="000C768D">
        <w:rPr>
          <w:rFonts w:ascii="Cambria" w:hAnsi="Cambria"/>
          <w:color w:val="auto"/>
        </w:rPr>
        <w:t xml:space="preserve"> nie jest wymagane spełnienie warunku pięcioletniego doświadczenia zawodowego.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8"/>
        </w:numPr>
        <w:ind w:left="360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W wyniku potwierdzenia efektów uczenia się można zaliczyć kandydatowi nie wi</w:t>
      </w:r>
      <w:r w:rsidRPr="000C768D">
        <w:rPr>
          <w:rFonts w:ascii="Cambria" w:hAnsi="Cambria"/>
          <w:color w:val="auto"/>
        </w:rPr>
        <w:t>ę</w:t>
      </w:r>
      <w:r w:rsidRPr="000C768D">
        <w:rPr>
          <w:rFonts w:ascii="Cambria" w:hAnsi="Cambria"/>
          <w:color w:val="auto"/>
        </w:rPr>
        <w:t>cej niż 50% punktów ECTS przypisanych do danego programu kształcenia określonego kierunku, poziomu i profilu kszta</w:t>
      </w:r>
      <w:r w:rsidRPr="000C768D">
        <w:rPr>
          <w:rFonts w:ascii="Cambria" w:hAnsi="Cambria"/>
          <w:color w:val="auto"/>
        </w:rPr>
        <w:t>ł</w:t>
      </w:r>
      <w:r w:rsidRPr="000C768D">
        <w:rPr>
          <w:rFonts w:ascii="Cambria" w:hAnsi="Cambria"/>
          <w:color w:val="auto"/>
        </w:rPr>
        <w:t>cenia.</w:t>
      </w:r>
    </w:p>
    <w:p w:rsidR="001B054D" w:rsidRPr="000C768D" w:rsidRDefault="001B054D" w:rsidP="00004709">
      <w:pPr>
        <w:pStyle w:val="Default"/>
        <w:keepNext/>
        <w:widowControl w:val="0"/>
        <w:jc w:val="both"/>
        <w:rPr>
          <w:rFonts w:ascii="Cambria" w:hAnsi="Cambria"/>
          <w:color w:val="auto"/>
        </w:rPr>
      </w:pP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4</w:t>
      </w:r>
    </w:p>
    <w:p w:rsidR="001B054D" w:rsidRPr="00C24C31" w:rsidRDefault="001B054D" w:rsidP="001B054D">
      <w:pPr>
        <w:pStyle w:val="Default"/>
        <w:keepNext/>
        <w:widowControl w:val="0"/>
        <w:ind w:left="357"/>
        <w:jc w:val="both"/>
        <w:rPr>
          <w:rFonts w:ascii="Cambria" w:hAnsi="Cambria"/>
          <w:color w:val="auto"/>
          <w:sz w:val="20"/>
          <w:szCs w:val="20"/>
        </w:rPr>
      </w:pP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20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 xml:space="preserve">Liczba studentów na danym kierunku, poziomie i profilu kształcenia, którzy zostali przyjęci na studia na podstawie </w:t>
      </w:r>
      <w:r>
        <w:rPr>
          <w:rFonts w:ascii="Cambria" w:hAnsi="Cambria"/>
          <w:color w:val="auto"/>
        </w:rPr>
        <w:t xml:space="preserve">rankingu </w:t>
      </w:r>
      <w:r w:rsidRPr="000C768D">
        <w:rPr>
          <w:rFonts w:ascii="Cambria" w:hAnsi="Cambria"/>
          <w:color w:val="auto"/>
        </w:rPr>
        <w:t>wyników uzyskanych w wyniku potwierdzenia efektów uczenia się, nie może być większa niż 20% ogólnej liczby st</w:t>
      </w:r>
      <w:r w:rsidRPr="000C768D">
        <w:rPr>
          <w:rFonts w:ascii="Cambria" w:hAnsi="Cambria"/>
          <w:color w:val="auto"/>
        </w:rPr>
        <w:t>u</w:t>
      </w:r>
      <w:r w:rsidRPr="000C768D">
        <w:rPr>
          <w:rFonts w:ascii="Cambria" w:hAnsi="Cambria"/>
          <w:color w:val="auto"/>
        </w:rPr>
        <w:t>dentów na tym kierunku, p</w:t>
      </w:r>
      <w:r w:rsidRPr="000C768D">
        <w:rPr>
          <w:rFonts w:ascii="Cambria" w:hAnsi="Cambria"/>
          <w:color w:val="auto"/>
        </w:rPr>
        <w:t>o</w:t>
      </w:r>
      <w:r w:rsidRPr="000C768D">
        <w:rPr>
          <w:rFonts w:ascii="Cambria" w:hAnsi="Cambria"/>
          <w:color w:val="auto"/>
        </w:rPr>
        <w:t>ziomie i profilu kształcenia.</w:t>
      </w:r>
    </w:p>
    <w:p w:rsidR="001B054D" w:rsidRDefault="001B054D" w:rsidP="001B054D">
      <w:pPr>
        <w:pStyle w:val="Default"/>
        <w:keepNext/>
        <w:widowControl w:val="0"/>
        <w:numPr>
          <w:ilvl w:val="0"/>
          <w:numId w:val="20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 xml:space="preserve">Limit miejsc dla osób przyjętych w wyniku potwierdzenia efektów </w:t>
      </w:r>
      <w:r>
        <w:rPr>
          <w:rFonts w:ascii="Cambria" w:hAnsi="Cambria"/>
          <w:color w:val="auto"/>
        </w:rPr>
        <w:t>uczenia się ustala się każdego roku</w:t>
      </w:r>
      <w:r w:rsidRPr="000C768D">
        <w:rPr>
          <w:rFonts w:ascii="Cambria" w:hAnsi="Cambria"/>
          <w:color w:val="auto"/>
        </w:rPr>
        <w:t xml:space="preserve">, łącznie z </w:t>
      </w:r>
      <w:r w:rsidRPr="00F92F16">
        <w:rPr>
          <w:rFonts w:ascii="Cambria" w:hAnsi="Cambria"/>
          <w:color w:val="auto"/>
        </w:rPr>
        <w:t>określeniem liczby miejsc</w:t>
      </w:r>
      <w:r>
        <w:rPr>
          <w:rFonts w:ascii="Cambria" w:hAnsi="Cambria"/>
          <w:color w:val="auto"/>
        </w:rPr>
        <w:t xml:space="preserve"> na poszczególnych kierunkach st</w:t>
      </w:r>
      <w:r>
        <w:rPr>
          <w:rFonts w:ascii="Cambria" w:hAnsi="Cambria"/>
          <w:color w:val="auto"/>
        </w:rPr>
        <w:t>u</w:t>
      </w:r>
      <w:r>
        <w:rPr>
          <w:rFonts w:ascii="Cambria" w:hAnsi="Cambria"/>
          <w:color w:val="auto"/>
        </w:rPr>
        <w:t>diów stacjonarnych na dany rok akademicki.</w:t>
      </w:r>
    </w:p>
    <w:p w:rsidR="003B6C23" w:rsidRPr="003B6C23" w:rsidRDefault="003B6C23" w:rsidP="003B6C23">
      <w:pPr>
        <w:pStyle w:val="Default"/>
        <w:keepNext/>
        <w:widowControl w:val="0"/>
        <w:numPr>
          <w:ilvl w:val="0"/>
          <w:numId w:val="20"/>
        </w:numPr>
        <w:ind w:left="357" w:hanging="357"/>
        <w:jc w:val="both"/>
        <w:rPr>
          <w:rFonts w:ascii="Cambria" w:hAnsi="Cambria"/>
          <w:color w:val="auto"/>
        </w:rPr>
      </w:pPr>
      <w:r w:rsidRPr="003B6C23">
        <w:rPr>
          <w:rFonts w:ascii="Cambria" w:hAnsi="Cambria"/>
        </w:rPr>
        <w:t>Harmonogram potwierdzania efektów uczenia się na wydziale w danym roku akademickim ustala dziekan , uwzględniając harmon</w:t>
      </w:r>
      <w:r w:rsidRPr="003B6C23">
        <w:rPr>
          <w:rFonts w:ascii="Cambria" w:hAnsi="Cambria"/>
        </w:rPr>
        <w:t>o</w:t>
      </w:r>
      <w:r w:rsidRPr="003B6C23">
        <w:rPr>
          <w:rFonts w:ascii="Cambria" w:hAnsi="Cambria"/>
        </w:rPr>
        <w:t>gram rekrutacji przyjęty na dany rok ak</w:t>
      </w:r>
      <w:r w:rsidRPr="003B6C23">
        <w:rPr>
          <w:rFonts w:ascii="Cambria" w:hAnsi="Cambria"/>
        </w:rPr>
        <w:t>a</w:t>
      </w:r>
      <w:r w:rsidRPr="003B6C23">
        <w:rPr>
          <w:rFonts w:ascii="Cambria" w:hAnsi="Cambria"/>
        </w:rPr>
        <w:t>demicki.</w:t>
      </w:r>
    </w:p>
    <w:p w:rsidR="006A48F2" w:rsidRDefault="006A48F2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5</w:t>
      </w:r>
    </w:p>
    <w:p w:rsidR="001B054D" w:rsidRPr="00C24C31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Default="001B054D" w:rsidP="001B054D">
      <w:pPr>
        <w:pStyle w:val="Default"/>
        <w:keepNext/>
        <w:widowControl w:val="0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A17D1">
        <w:rPr>
          <w:rFonts w:ascii="Cambria" w:hAnsi="Cambria"/>
          <w:color w:val="auto"/>
        </w:rPr>
        <w:t>Za przeprowadzenie postępowania potwierdzania efektów uczenia się U</w:t>
      </w:r>
      <w:r>
        <w:rPr>
          <w:rFonts w:ascii="Cambria" w:hAnsi="Cambria"/>
          <w:color w:val="auto"/>
        </w:rPr>
        <w:t xml:space="preserve">niwersytet </w:t>
      </w:r>
      <w:r w:rsidRPr="00DA17D1">
        <w:rPr>
          <w:rFonts w:ascii="Cambria" w:hAnsi="Cambria"/>
          <w:color w:val="auto"/>
        </w:rPr>
        <w:t xml:space="preserve"> pobiera opłatę w wysokości określonej zarządzeniem</w:t>
      </w:r>
      <w:r>
        <w:rPr>
          <w:rFonts w:ascii="Cambria" w:hAnsi="Cambria"/>
          <w:color w:val="auto"/>
        </w:rPr>
        <w:t xml:space="preserve"> Rektora,</w:t>
      </w:r>
      <w:r w:rsidRPr="00DA17D1">
        <w:rPr>
          <w:rFonts w:ascii="Cambria" w:hAnsi="Cambria"/>
          <w:color w:val="auto"/>
        </w:rPr>
        <w:t xml:space="preserve"> zamieszczonym na str</w:t>
      </w:r>
      <w:r w:rsidRPr="00DA17D1">
        <w:rPr>
          <w:rFonts w:ascii="Cambria" w:hAnsi="Cambria"/>
          <w:color w:val="auto"/>
        </w:rPr>
        <w:t>o</w:t>
      </w:r>
      <w:r w:rsidRPr="00DA17D1">
        <w:rPr>
          <w:rFonts w:ascii="Cambria" w:hAnsi="Cambria"/>
          <w:color w:val="auto"/>
        </w:rPr>
        <w:t>nie internetowej Uniwersytetu.</w:t>
      </w:r>
    </w:p>
    <w:p w:rsidR="001B054D" w:rsidRPr="000A3160" w:rsidRDefault="001B054D" w:rsidP="00A16A6A">
      <w:pPr>
        <w:pStyle w:val="Default"/>
        <w:keepNext/>
        <w:widowControl w:val="0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0A3160">
        <w:rPr>
          <w:rFonts w:ascii="Cambria" w:hAnsi="Cambria"/>
        </w:rPr>
        <w:t>Opłatę kandydat wnosi na rachunek bankowy Uniwersytetu przed przystąpi</w:t>
      </w:r>
      <w:r w:rsidRPr="000A3160">
        <w:rPr>
          <w:rFonts w:ascii="Cambria" w:hAnsi="Cambria"/>
        </w:rPr>
        <w:t>e</w:t>
      </w:r>
      <w:r w:rsidRPr="000A3160">
        <w:rPr>
          <w:rFonts w:ascii="Cambria" w:hAnsi="Cambria"/>
        </w:rPr>
        <w:t>niem do procesu potwierdzania efektów uczenia się. Potwierdzenie uiszczenia opłaty dołączane jest do dokumentacji składanej przez kandydata wraz z wnioskiem o potwierdzenie efektów uczenia się.</w:t>
      </w:r>
    </w:p>
    <w:p w:rsidR="00C55DFF" w:rsidRPr="000A3160" w:rsidRDefault="001B054D" w:rsidP="00C55DFF">
      <w:pPr>
        <w:numPr>
          <w:ilvl w:val="0"/>
          <w:numId w:val="13"/>
        </w:numPr>
        <w:jc w:val="both"/>
        <w:rPr>
          <w:rFonts w:ascii="Cambria" w:hAnsi="Cambria"/>
        </w:rPr>
      </w:pPr>
      <w:r w:rsidRPr="000A3160">
        <w:t>Z kandydatem Uniwersytet</w:t>
      </w:r>
      <w:r w:rsidR="00505BCE" w:rsidRPr="000A3160">
        <w:t xml:space="preserve"> zawiera umowę o potwierdzenie </w:t>
      </w:r>
      <w:r w:rsidRPr="000A3160">
        <w:t>efektów kształc</w:t>
      </w:r>
      <w:r w:rsidRPr="000A3160">
        <w:t>e</w:t>
      </w:r>
      <w:r w:rsidRPr="000A3160">
        <w:t>nia</w:t>
      </w:r>
      <w:r w:rsidR="000A3160" w:rsidRPr="000A3160">
        <w:t xml:space="preserve"> </w:t>
      </w:r>
      <w:r w:rsidR="00C55DFF" w:rsidRPr="000A3160">
        <w:t>według wzoru  określonego przez Senat</w:t>
      </w:r>
    </w:p>
    <w:p w:rsidR="00C55DFF" w:rsidRPr="000A3160" w:rsidRDefault="00C55DFF" w:rsidP="00C55DFF">
      <w:pPr>
        <w:jc w:val="both"/>
        <w:rPr>
          <w:rFonts w:ascii="Cambria" w:hAnsi="Cambria"/>
        </w:rPr>
      </w:pPr>
    </w:p>
    <w:p w:rsidR="001B054D" w:rsidRPr="00157F9B" w:rsidRDefault="001B054D" w:rsidP="00004709">
      <w:pPr>
        <w:rPr>
          <w:rFonts w:ascii="Cambria" w:hAnsi="Cambria"/>
          <w:sz w:val="18"/>
          <w:szCs w:val="18"/>
        </w:rPr>
      </w:pPr>
    </w:p>
    <w:p w:rsidR="0064647A" w:rsidRPr="00157F9B" w:rsidRDefault="0064647A" w:rsidP="00004709">
      <w:pPr>
        <w:rPr>
          <w:rFonts w:ascii="Cambria" w:hAnsi="Cambria"/>
          <w:sz w:val="18"/>
          <w:szCs w:val="18"/>
        </w:rPr>
      </w:pPr>
    </w:p>
    <w:p w:rsidR="001B054D" w:rsidRPr="00C12D9A" w:rsidRDefault="001B054D" w:rsidP="00004709">
      <w:pPr>
        <w:jc w:val="center"/>
        <w:rPr>
          <w:rFonts w:ascii="Cambria" w:hAnsi="Cambria"/>
        </w:rPr>
      </w:pPr>
      <w:r w:rsidRPr="00C12D9A">
        <w:rPr>
          <w:rFonts w:ascii="Cambria" w:hAnsi="Cambria"/>
        </w:rPr>
        <w:t>§ 6</w:t>
      </w:r>
    </w:p>
    <w:p w:rsidR="0064647A" w:rsidRPr="00157F9B" w:rsidRDefault="0064647A" w:rsidP="00004709">
      <w:pPr>
        <w:jc w:val="center"/>
        <w:rPr>
          <w:rFonts w:ascii="Cambria" w:hAnsi="Cambria"/>
          <w:sz w:val="22"/>
          <w:szCs w:val="22"/>
        </w:rPr>
      </w:pPr>
    </w:p>
    <w:p w:rsidR="0078093C" w:rsidRDefault="0078093C" w:rsidP="0078093C">
      <w:pPr>
        <w:numPr>
          <w:ilvl w:val="0"/>
          <w:numId w:val="26"/>
        </w:numPr>
        <w:tabs>
          <w:tab w:val="clear" w:pos="1919"/>
          <w:tab w:val="num" w:pos="360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Potwierdzenie </w:t>
      </w:r>
      <w:r w:rsidRPr="000C768D">
        <w:rPr>
          <w:rFonts w:ascii="Cambria" w:hAnsi="Cambria"/>
        </w:rPr>
        <w:t>efektów uczenia się odbywa się na pisemny wniosek kandydata. Wni</w:t>
      </w:r>
      <w:r w:rsidRPr="000C768D">
        <w:rPr>
          <w:rFonts w:ascii="Cambria" w:hAnsi="Cambria"/>
        </w:rPr>
        <w:t>o</w:t>
      </w:r>
      <w:r w:rsidRPr="000C768D">
        <w:rPr>
          <w:rFonts w:ascii="Cambria" w:hAnsi="Cambria"/>
        </w:rPr>
        <w:t>sek ten musi zawierać informac</w:t>
      </w:r>
      <w:r>
        <w:rPr>
          <w:rFonts w:ascii="Cambria" w:hAnsi="Cambria"/>
        </w:rPr>
        <w:t>ję o kierunku studiów</w:t>
      </w:r>
      <w:r w:rsidR="00C55DFF">
        <w:rPr>
          <w:rFonts w:ascii="Cambria" w:hAnsi="Cambria"/>
        </w:rPr>
        <w:t xml:space="preserve">, </w:t>
      </w:r>
      <w:r w:rsidR="00C55DFF" w:rsidRPr="000A3160">
        <w:rPr>
          <w:rFonts w:ascii="Cambria" w:hAnsi="Cambria"/>
        </w:rPr>
        <w:t>profilu</w:t>
      </w:r>
      <w:r w:rsidRPr="00C55DFF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i poziomie</w:t>
      </w:r>
      <w:r w:rsidRPr="000C768D">
        <w:rPr>
          <w:rFonts w:ascii="Cambria" w:hAnsi="Cambria"/>
        </w:rPr>
        <w:t xml:space="preserve"> kształcenia oraz</w:t>
      </w:r>
      <w:r w:rsidRPr="000C768D">
        <w:rPr>
          <w:rFonts w:ascii="Cambria" w:hAnsi="Cambria"/>
        </w:rPr>
        <w:br/>
        <w:t>o przedmiotach/modułach, z którymi związane są efekty uczenia się, o których p</w:t>
      </w:r>
      <w:r w:rsidRPr="000C768D">
        <w:rPr>
          <w:rFonts w:ascii="Cambria" w:hAnsi="Cambria"/>
        </w:rPr>
        <w:t>o</w:t>
      </w:r>
      <w:r w:rsidRPr="000C768D">
        <w:rPr>
          <w:rFonts w:ascii="Cambria" w:hAnsi="Cambria"/>
        </w:rPr>
        <w:t>twierdzenie ubiega się kandydat.</w:t>
      </w:r>
      <w:r>
        <w:rPr>
          <w:rFonts w:ascii="Cambria" w:hAnsi="Cambria"/>
        </w:rPr>
        <w:t xml:space="preserve"> </w:t>
      </w:r>
      <w:r w:rsidRPr="000C768D">
        <w:rPr>
          <w:rFonts w:ascii="Cambria" w:hAnsi="Cambria"/>
        </w:rPr>
        <w:t xml:space="preserve"> </w:t>
      </w:r>
      <w:r w:rsidRPr="002E0CEC">
        <w:rPr>
          <w:rFonts w:ascii="Cambria" w:hAnsi="Cambria"/>
        </w:rPr>
        <w:t>Wzór wniosku określa odrębne zarządzenie Rektora</w:t>
      </w:r>
      <w:r>
        <w:rPr>
          <w:rFonts w:ascii="Cambria" w:hAnsi="Cambria"/>
        </w:rPr>
        <w:t>.</w:t>
      </w:r>
    </w:p>
    <w:p w:rsidR="001B054D" w:rsidRPr="007F1318" w:rsidRDefault="001B054D" w:rsidP="0078093C">
      <w:pPr>
        <w:numPr>
          <w:ilvl w:val="0"/>
          <w:numId w:val="26"/>
        </w:numPr>
        <w:tabs>
          <w:tab w:val="clear" w:pos="1919"/>
          <w:tab w:val="num" w:pos="360"/>
        </w:tabs>
        <w:ind w:left="360" w:hanging="360"/>
        <w:jc w:val="both"/>
        <w:rPr>
          <w:rFonts w:ascii="Cambria" w:hAnsi="Cambria"/>
        </w:rPr>
      </w:pPr>
      <w:r w:rsidRPr="007F1318">
        <w:rPr>
          <w:rFonts w:ascii="Cambria" w:hAnsi="Cambria"/>
        </w:rPr>
        <w:t>Wraz z wnioskiem, o którym mowa w ust.</w:t>
      </w:r>
      <w:r w:rsidR="002F0E65" w:rsidRPr="007F1318">
        <w:rPr>
          <w:rFonts w:ascii="Cambria" w:hAnsi="Cambria"/>
        </w:rPr>
        <w:t xml:space="preserve"> </w:t>
      </w:r>
      <w:r w:rsidRPr="007F1318">
        <w:rPr>
          <w:rFonts w:ascii="Cambria" w:hAnsi="Cambria"/>
        </w:rPr>
        <w:t>1, kandydat składa:</w:t>
      </w:r>
    </w:p>
    <w:p w:rsidR="001B054D" w:rsidRPr="006E04A6" w:rsidRDefault="001B054D" w:rsidP="001B054D">
      <w:pPr>
        <w:pStyle w:val="Default"/>
        <w:keepNext/>
        <w:widowControl w:val="0"/>
        <w:numPr>
          <w:ilvl w:val="0"/>
          <w:numId w:val="19"/>
        </w:numPr>
        <w:jc w:val="both"/>
        <w:rPr>
          <w:rFonts w:ascii="Cambria" w:hAnsi="Cambria"/>
          <w:color w:val="auto"/>
        </w:rPr>
      </w:pPr>
      <w:r w:rsidRPr="006E04A6">
        <w:rPr>
          <w:rFonts w:ascii="Cambria" w:hAnsi="Cambria"/>
          <w:color w:val="auto"/>
        </w:rPr>
        <w:t>świadectwo dojrzałości,</w:t>
      </w:r>
    </w:p>
    <w:p w:rsidR="001B054D" w:rsidRPr="006E04A6" w:rsidRDefault="001B054D" w:rsidP="001B054D">
      <w:pPr>
        <w:pStyle w:val="Default"/>
        <w:keepNext/>
        <w:widowControl w:val="0"/>
        <w:numPr>
          <w:ilvl w:val="0"/>
          <w:numId w:val="19"/>
        </w:numPr>
        <w:jc w:val="both"/>
        <w:rPr>
          <w:rFonts w:ascii="Cambria" w:hAnsi="Cambria"/>
          <w:color w:val="auto"/>
        </w:rPr>
      </w:pPr>
      <w:r w:rsidRPr="006E04A6">
        <w:rPr>
          <w:rFonts w:ascii="Cambria" w:hAnsi="Cambria"/>
          <w:color w:val="auto"/>
        </w:rPr>
        <w:t xml:space="preserve">dyplom ukończenia studiów (w przypadku kandydatów, o których mowa w </w:t>
      </w:r>
      <w:r w:rsidR="00443620" w:rsidRPr="000C768D">
        <w:rPr>
          <w:rFonts w:ascii="Cambria" w:hAnsi="Cambria"/>
          <w:color w:val="auto"/>
        </w:rPr>
        <w:t>§</w:t>
      </w:r>
      <w:r w:rsidRPr="006E04A6">
        <w:rPr>
          <w:rFonts w:ascii="Cambria" w:hAnsi="Cambria"/>
          <w:color w:val="auto"/>
        </w:rPr>
        <w:t xml:space="preserve"> 3 ust. 3, lit. </w:t>
      </w:r>
      <w:proofErr w:type="spellStart"/>
      <w:r w:rsidRPr="006E04A6">
        <w:rPr>
          <w:rFonts w:ascii="Cambria" w:hAnsi="Cambria"/>
          <w:color w:val="auto"/>
        </w:rPr>
        <w:t>b-c</w:t>
      </w:r>
      <w:proofErr w:type="spellEnd"/>
      <w:r w:rsidRPr="006E04A6">
        <w:rPr>
          <w:rFonts w:ascii="Cambria" w:hAnsi="Cambria"/>
          <w:color w:val="auto"/>
        </w:rPr>
        <w:t>),</w:t>
      </w:r>
    </w:p>
    <w:p w:rsidR="001B054D" w:rsidRPr="006E04A6" w:rsidRDefault="001B054D" w:rsidP="001B054D">
      <w:pPr>
        <w:pStyle w:val="Default"/>
        <w:keepNext/>
        <w:widowControl w:val="0"/>
        <w:numPr>
          <w:ilvl w:val="0"/>
          <w:numId w:val="19"/>
        </w:numPr>
        <w:jc w:val="both"/>
        <w:rPr>
          <w:rFonts w:ascii="Cambria" w:hAnsi="Cambria"/>
          <w:color w:val="auto"/>
        </w:rPr>
      </w:pPr>
      <w:r w:rsidRPr="006E04A6">
        <w:rPr>
          <w:rFonts w:ascii="Cambria" w:hAnsi="Cambria"/>
          <w:color w:val="auto"/>
        </w:rPr>
        <w:t>dokumenty potwierdzające staż pracy i zajmowane stanowiska oraz realizowane zakresy zadań,</w:t>
      </w:r>
    </w:p>
    <w:p w:rsidR="001B054D" w:rsidRPr="006E04A6" w:rsidRDefault="001B054D" w:rsidP="001B054D">
      <w:pPr>
        <w:pStyle w:val="Default"/>
        <w:keepNext/>
        <w:widowControl w:val="0"/>
        <w:numPr>
          <w:ilvl w:val="0"/>
          <w:numId w:val="19"/>
        </w:numPr>
        <w:jc w:val="both"/>
        <w:rPr>
          <w:rFonts w:ascii="Cambria" w:hAnsi="Cambria"/>
          <w:color w:val="auto"/>
        </w:rPr>
      </w:pPr>
      <w:r w:rsidRPr="006E04A6">
        <w:rPr>
          <w:rFonts w:ascii="Cambria" w:hAnsi="Cambria"/>
          <w:color w:val="auto"/>
        </w:rPr>
        <w:t>opis doświadczenia zawodowego,</w:t>
      </w:r>
    </w:p>
    <w:p w:rsidR="001B054D" w:rsidRPr="006E04A6" w:rsidRDefault="001B054D" w:rsidP="001B054D">
      <w:pPr>
        <w:pStyle w:val="Default"/>
        <w:keepNext/>
        <w:widowControl w:val="0"/>
        <w:numPr>
          <w:ilvl w:val="0"/>
          <w:numId w:val="19"/>
        </w:numPr>
        <w:jc w:val="both"/>
        <w:rPr>
          <w:rFonts w:ascii="Cambria" w:hAnsi="Cambria"/>
          <w:color w:val="auto"/>
        </w:rPr>
      </w:pPr>
      <w:r w:rsidRPr="006E04A6">
        <w:rPr>
          <w:rFonts w:ascii="Cambria" w:hAnsi="Cambria"/>
          <w:color w:val="auto"/>
        </w:rPr>
        <w:t>dokumenty potwierdzające odbyte staże, kursy, szkolenia, egzaminy zdane poza sy</w:t>
      </w:r>
      <w:r w:rsidRPr="006E04A6">
        <w:rPr>
          <w:rFonts w:ascii="Cambria" w:hAnsi="Cambria"/>
          <w:color w:val="auto"/>
        </w:rPr>
        <w:t>s</w:t>
      </w:r>
      <w:r w:rsidRPr="006E04A6">
        <w:rPr>
          <w:rFonts w:ascii="Cambria" w:hAnsi="Cambria"/>
          <w:color w:val="auto"/>
        </w:rPr>
        <w:t>temem szkolnictwa wyższego,</w:t>
      </w:r>
    </w:p>
    <w:p w:rsidR="001B054D" w:rsidRPr="006E04A6" w:rsidRDefault="001B054D" w:rsidP="001B054D">
      <w:pPr>
        <w:pStyle w:val="Default"/>
        <w:keepNext/>
        <w:widowControl w:val="0"/>
        <w:numPr>
          <w:ilvl w:val="0"/>
          <w:numId w:val="19"/>
        </w:numPr>
        <w:jc w:val="both"/>
        <w:rPr>
          <w:rFonts w:ascii="Cambria" w:hAnsi="Cambria"/>
          <w:color w:val="auto"/>
        </w:rPr>
      </w:pPr>
      <w:r w:rsidRPr="006E04A6">
        <w:rPr>
          <w:rFonts w:ascii="Cambria" w:hAnsi="Cambria"/>
          <w:color w:val="auto"/>
        </w:rPr>
        <w:t>inne dokumenty potwierdzające posiadane efekty uczenia się.</w:t>
      </w:r>
    </w:p>
    <w:p w:rsidR="001B054D" w:rsidRPr="006E04A6" w:rsidRDefault="001B054D" w:rsidP="0078093C">
      <w:pPr>
        <w:pStyle w:val="Default"/>
        <w:keepNext/>
        <w:widowControl w:val="0"/>
        <w:numPr>
          <w:ilvl w:val="1"/>
          <w:numId w:val="19"/>
        </w:numPr>
        <w:tabs>
          <w:tab w:val="clear" w:pos="1437"/>
          <w:tab w:val="num" w:pos="360"/>
        </w:tabs>
        <w:ind w:left="360" w:hanging="360"/>
        <w:jc w:val="both"/>
        <w:rPr>
          <w:rFonts w:ascii="Cambria" w:hAnsi="Cambria"/>
          <w:color w:val="auto"/>
        </w:rPr>
      </w:pPr>
      <w:r w:rsidRPr="006E04A6">
        <w:rPr>
          <w:rFonts w:ascii="Cambria" w:hAnsi="Cambria"/>
          <w:color w:val="auto"/>
        </w:rPr>
        <w:t xml:space="preserve">Dokumenty, o których mowa w ust. 2, </w:t>
      </w:r>
      <w:r w:rsidR="00C55DFF" w:rsidRPr="000A3160">
        <w:rPr>
          <w:rFonts w:ascii="Cambria" w:hAnsi="Cambria"/>
          <w:color w:val="auto"/>
        </w:rPr>
        <w:t xml:space="preserve">powinny zostać </w:t>
      </w:r>
      <w:r w:rsidRPr="000A3160">
        <w:rPr>
          <w:rFonts w:ascii="Cambria" w:hAnsi="Cambria"/>
          <w:color w:val="auto"/>
        </w:rPr>
        <w:t>złożone</w:t>
      </w:r>
      <w:r w:rsidRPr="006E04A6">
        <w:rPr>
          <w:rFonts w:ascii="Cambria" w:hAnsi="Cambria"/>
          <w:color w:val="auto"/>
        </w:rPr>
        <w:t xml:space="preserve"> w oryginale, a jeśli skł</w:t>
      </w:r>
      <w:r w:rsidRPr="006E04A6">
        <w:rPr>
          <w:rFonts w:ascii="Cambria" w:hAnsi="Cambria"/>
          <w:color w:val="auto"/>
        </w:rPr>
        <w:t>a</w:t>
      </w:r>
      <w:r w:rsidRPr="006E04A6">
        <w:rPr>
          <w:rFonts w:ascii="Cambria" w:hAnsi="Cambria"/>
          <w:color w:val="auto"/>
        </w:rPr>
        <w:t xml:space="preserve">dana jest kopia dokumentu, oryginał musi zostać przedstawiony do wglądu (pracownik </w:t>
      </w:r>
      <w:r w:rsidRPr="006E04A6">
        <w:rPr>
          <w:rFonts w:ascii="Cambria" w:hAnsi="Cambria"/>
          <w:color w:val="auto"/>
        </w:rPr>
        <w:lastRenderedPageBreak/>
        <w:t>Uniwersytetu przyjmujący kopię opatruje ją ad</w:t>
      </w:r>
      <w:r w:rsidR="0064647A">
        <w:rPr>
          <w:rFonts w:ascii="Cambria" w:hAnsi="Cambria"/>
          <w:color w:val="auto"/>
        </w:rPr>
        <w:t xml:space="preserve">notacją potwierdzającą zgodność </w:t>
      </w:r>
      <w:r w:rsidR="0064647A">
        <w:rPr>
          <w:rFonts w:ascii="Cambria" w:hAnsi="Cambria"/>
          <w:color w:val="auto"/>
        </w:rPr>
        <w:br/>
      </w:r>
      <w:r w:rsidRPr="006E04A6">
        <w:rPr>
          <w:rFonts w:ascii="Cambria" w:hAnsi="Cambria"/>
          <w:color w:val="auto"/>
        </w:rPr>
        <w:t>z ok</w:t>
      </w:r>
      <w:r w:rsidRPr="006E04A6">
        <w:rPr>
          <w:rFonts w:ascii="Cambria" w:hAnsi="Cambria"/>
          <w:color w:val="auto"/>
        </w:rPr>
        <w:t>a</w:t>
      </w:r>
      <w:r w:rsidRPr="006E04A6">
        <w:rPr>
          <w:rFonts w:ascii="Cambria" w:hAnsi="Cambria"/>
          <w:color w:val="auto"/>
        </w:rPr>
        <w:t>zanym oryginałem dokumentu).</w:t>
      </w:r>
    </w:p>
    <w:p w:rsidR="001B054D" w:rsidRPr="000C768D" w:rsidRDefault="001B054D" w:rsidP="0078093C">
      <w:pPr>
        <w:pStyle w:val="Default"/>
        <w:keepNext/>
        <w:widowControl w:val="0"/>
        <w:numPr>
          <w:ilvl w:val="2"/>
          <w:numId w:val="19"/>
        </w:numPr>
        <w:tabs>
          <w:tab w:val="clear" w:pos="2337"/>
          <w:tab w:val="num" w:pos="360"/>
        </w:tabs>
        <w:ind w:left="360" w:hanging="36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spacing w:val="-4"/>
        </w:rPr>
        <w:t>W przypadku uznania, przez Komisję ds. potwierdzania efektów uczenia się, złożonego przez kandydata wniosku za niekompletny, kandydat zobowiązany jest, po otrzymaniu w</w:t>
      </w:r>
      <w:r>
        <w:rPr>
          <w:rFonts w:ascii="Cambria" w:hAnsi="Cambria"/>
          <w:color w:val="auto"/>
          <w:spacing w:val="-4"/>
        </w:rPr>
        <w:t>e</w:t>
      </w:r>
      <w:r>
        <w:rPr>
          <w:rFonts w:ascii="Cambria" w:hAnsi="Cambria"/>
          <w:color w:val="auto"/>
          <w:spacing w:val="-4"/>
        </w:rPr>
        <w:t>zwania Komisji ds. potwierdzania efektów uczenia się, do niezwłocznego uzupełnienia wni</w:t>
      </w:r>
      <w:r>
        <w:rPr>
          <w:rFonts w:ascii="Cambria" w:hAnsi="Cambria"/>
          <w:color w:val="auto"/>
          <w:spacing w:val="-4"/>
        </w:rPr>
        <w:t>o</w:t>
      </w:r>
      <w:r>
        <w:rPr>
          <w:rFonts w:ascii="Cambria" w:hAnsi="Cambria"/>
          <w:color w:val="auto"/>
          <w:spacing w:val="-4"/>
        </w:rPr>
        <w:t>sku pod rygorem pozostawienia go bez ro</w:t>
      </w:r>
      <w:r>
        <w:rPr>
          <w:rFonts w:ascii="Cambria" w:hAnsi="Cambria"/>
          <w:color w:val="auto"/>
          <w:spacing w:val="-4"/>
        </w:rPr>
        <w:t>z</w:t>
      </w:r>
      <w:r>
        <w:rPr>
          <w:rFonts w:ascii="Cambria" w:hAnsi="Cambria"/>
          <w:color w:val="auto"/>
          <w:spacing w:val="-4"/>
        </w:rPr>
        <w:t xml:space="preserve">poznania. </w:t>
      </w: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7</w:t>
      </w:r>
    </w:p>
    <w:p w:rsidR="001B054D" w:rsidRPr="00C24C31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4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W celu przeprowadzenia procedury potwierdzenia efektów uczenia się danego kand</w:t>
      </w:r>
      <w:r w:rsidRPr="000C768D">
        <w:rPr>
          <w:rFonts w:ascii="Cambria" w:hAnsi="Cambria"/>
          <w:color w:val="auto"/>
        </w:rPr>
        <w:t>y</w:t>
      </w:r>
      <w:r w:rsidRPr="000C768D">
        <w:rPr>
          <w:rFonts w:ascii="Cambria" w:hAnsi="Cambria"/>
          <w:color w:val="auto"/>
        </w:rPr>
        <w:t xml:space="preserve">data dziekan właściwego wydziału powołuje </w:t>
      </w:r>
      <w:r>
        <w:rPr>
          <w:rFonts w:ascii="Cambria" w:hAnsi="Cambria"/>
          <w:color w:val="auto"/>
        </w:rPr>
        <w:t>K</w:t>
      </w:r>
      <w:r w:rsidRPr="000C768D">
        <w:rPr>
          <w:rFonts w:ascii="Cambria" w:hAnsi="Cambria"/>
          <w:color w:val="auto"/>
        </w:rPr>
        <w:t>omisję ds. potwierdzania efektów ucz</w:t>
      </w:r>
      <w:r w:rsidRPr="000C768D">
        <w:rPr>
          <w:rFonts w:ascii="Cambria" w:hAnsi="Cambria"/>
          <w:color w:val="auto"/>
        </w:rPr>
        <w:t>e</w:t>
      </w:r>
      <w:r w:rsidRPr="000C768D">
        <w:rPr>
          <w:rFonts w:ascii="Cambria" w:hAnsi="Cambria"/>
          <w:color w:val="auto"/>
        </w:rPr>
        <w:t xml:space="preserve">nia się </w:t>
      </w:r>
      <w:r w:rsidR="009957C2">
        <w:rPr>
          <w:rFonts w:ascii="Cambria" w:hAnsi="Cambria"/>
          <w:color w:val="auto"/>
        </w:rPr>
        <w:t xml:space="preserve">      </w:t>
      </w:r>
      <w:r w:rsidRPr="000C768D">
        <w:rPr>
          <w:rFonts w:ascii="Cambria" w:hAnsi="Cambria"/>
          <w:color w:val="auto"/>
        </w:rPr>
        <w:t xml:space="preserve">i wyznacza jej przewodniczącego. W skład </w:t>
      </w:r>
      <w:r>
        <w:rPr>
          <w:rFonts w:ascii="Cambria" w:hAnsi="Cambria"/>
          <w:color w:val="auto"/>
        </w:rPr>
        <w:t>Komisji</w:t>
      </w:r>
      <w:r w:rsidRPr="00E03CC5">
        <w:rPr>
          <w:rFonts w:ascii="Cambria" w:hAnsi="Cambria"/>
          <w:color w:val="auto"/>
        </w:rPr>
        <w:t xml:space="preserve"> </w:t>
      </w:r>
      <w:r w:rsidRPr="000C768D">
        <w:rPr>
          <w:rFonts w:ascii="Cambria" w:hAnsi="Cambria"/>
          <w:color w:val="auto"/>
        </w:rPr>
        <w:t>ds. potwierdzania efektów uczenia się</w:t>
      </w:r>
      <w:r>
        <w:rPr>
          <w:rFonts w:ascii="Cambria" w:hAnsi="Cambria"/>
          <w:color w:val="auto"/>
        </w:rPr>
        <w:t xml:space="preserve"> </w:t>
      </w:r>
      <w:r w:rsidRPr="000C768D">
        <w:rPr>
          <w:rFonts w:ascii="Cambria" w:hAnsi="Cambria"/>
          <w:color w:val="auto"/>
        </w:rPr>
        <w:t xml:space="preserve">wchodzi co najmniej trzech nauczycieli akademickich, w tym przynajmniej dwóch </w:t>
      </w:r>
      <w:r w:rsidR="001143C7">
        <w:rPr>
          <w:rFonts w:ascii="Cambria" w:hAnsi="Cambria"/>
          <w:color w:val="auto"/>
        </w:rPr>
        <w:br/>
      </w:r>
      <w:r w:rsidRPr="000C768D">
        <w:rPr>
          <w:rFonts w:ascii="Cambria" w:hAnsi="Cambria"/>
          <w:color w:val="auto"/>
        </w:rPr>
        <w:t>z minimum kadrowego danego kierunku studiów.</w:t>
      </w:r>
    </w:p>
    <w:p w:rsidR="001B054D" w:rsidRPr="004D2465" w:rsidRDefault="001B054D" w:rsidP="001B054D">
      <w:pPr>
        <w:pStyle w:val="Default"/>
        <w:keepNext/>
        <w:widowControl w:val="0"/>
        <w:numPr>
          <w:ilvl w:val="0"/>
          <w:numId w:val="14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  <w:spacing w:val="-4"/>
        </w:rPr>
        <w:t xml:space="preserve">Komisja </w:t>
      </w:r>
      <w:r w:rsidRPr="000C768D">
        <w:rPr>
          <w:rFonts w:ascii="Cambria" w:hAnsi="Cambria"/>
          <w:color w:val="auto"/>
        </w:rPr>
        <w:t>ds. potwierdzania efektów ucz</w:t>
      </w:r>
      <w:r w:rsidRPr="000C768D">
        <w:rPr>
          <w:rFonts w:ascii="Cambria" w:hAnsi="Cambria"/>
          <w:color w:val="auto"/>
        </w:rPr>
        <w:t>e</w:t>
      </w:r>
      <w:r w:rsidRPr="000C768D">
        <w:rPr>
          <w:rFonts w:ascii="Cambria" w:hAnsi="Cambria"/>
          <w:color w:val="auto"/>
        </w:rPr>
        <w:t>nia się</w:t>
      </w:r>
      <w:r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  <w:spacing w:val="-4"/>
        </w:rPr>
        <w:t xml:space="preserve"> </w:t>
      </w:r>
      <w:r w:rsidRPr="000C768D">
        <w:rPr>
          <w:rFonts w:ascii="Cambria" w:hAnsi="Cambria"/>
          <w:color w:val="auto"/>
          <w:spacing w:val="-4"/>
        </w:rPr>
        <w:t xml:space="preserve">ustala formę weryfikacji efektów uczenia się po zapoznaniu się z dokumentacją przedstawioną przez </w:t>
      </w:r>
      <w:r>
        <w:rPr>
          <w:rFonts w:ascii="Cambria" w:hAnsi="Cambria"/>
          <w:color w:val="auto"/>
          <w:spacing w:val="-4"/>
        </w:rPr>
        <w:t>kandydata</w:t>
      </w:r>
      <w:r w:rsidRPr="000C768D">
        <w:rPr>
          <w:rFonts w:ascii="Cambria" w:hAnsi="Cambria"/>
          <w:color w:val="auto"/>
          <w:spacing w:val="-4"/>
        </w:rPr>
        <w:t xml:space="preserve">. 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4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  <w:spacing w:val="-4"/>
        </w:rPr>
        <w:t xml:space="preserve">W wyniku przeprowadzonej weryfikacji </w:t>
      </w:r>
      <w:r>
        <w:rPr>
          <w:rFonts w:ascii="Cambria" w:hAnsi="Cambria"/>
          <w:color w:val="auto"/>
          <w:spacing w:val="-4"/>
        </w:rPr>
        <w:t>K</w:t>
      </w:r>
      <w:r w:rsidRPr="000C768D">
        <w:rPr>
          <w:rFonts w:ascii="Cambria" w:hAnsi="Cambria"/>
          <w:color w:val="auto"/>
          <w:spacing w:val="-4"/>
        </w:rPr>
        <w:t xml:space="preserve">omisja </w:t>
      </w:r>
      <w:r w:rsidRPr="000C768D">
        <w:rPr>
          <w:rFonts w:ascii="Cambria" w:hAnsi="Cambria"/>
          <w:color w:val="auto"/>
        </w:rPr>
        <w:t>ds. potwierdzania efektów ucz</w:t>
      </w:r>
      <w:r w:rsidRPr="000C768D">
        <w:rPr>
          <w:rFonts w:ascii="Cambria" w:hAnsi="Cambria"/>
          <w:color w:val="auto"/>
        </w:rPr>
        <w:t>e</w:t>
      </w:r>
      <w:r w:rsidRPr="000C768D">
        <w:rPr>
          <w:rFonts w:ascii="Cambria" w:hAnsi="Cambria"/>
          <w:color w:val="auto"/>
        </w:rPr>
        <w:t xml:space="preserve">nia się potwierdza zbieżność lub stwierdza niezgodność uzyskanych efektów uczenia się </w:t>
      </w:r>
      <w:r w:rsidR="009957C2">
        <w:rPr>
          <w:rFonts w:ascii="Cambria" w:hAnsi="Cambria"/>
          <w:color w:val="auto"/>
        </w:rPr>
        <w:t xml:space="preserve">                </w:t>
      </w:r>
      <w:r w:rsidRPr="000C768D">
        <w:rPr>
          <w:rFonts w:ascii="Cambria" w:hAnsi="Cambria"/>
          <w:color w:val="auto"/>
        </w:rPr>
        <w:t>z efektami kształcenia określonymi w pr</w:t>
      </w:r>
      <w:r w:rsidRPr="000C768D">
        <w:rPr>
          <w:rFonts w:ascii="Cambria" w:hAnsi="Cambria"/>
          <w:color w:val="auto"/>
        </w:rPr>
        <w:t>o</w:t>
      </w:r>
      <w:r w:rsidRPr="000C768D">
        <w:rPr>
          <w:rFonts w:ascii="Cambria" w:hAnsi="Cambria"/>
          <w:color w:val="auto"/>
        </w:rPr>
        <w:t>gramie studiów dla danego kierunku, poziomu</w:t>
      </w:r>
      <w:r w:rsidR="009957C2">
        <w:rPr>
          <w:rFonts w:ascii="Cambria" w:hAnsi="Cambria"/>
          <w:color w:val="auto"/>
        </w:rPr>
        <w:t xml:space="preserve">     </w:t>
      </w:r>
      <w:r w:rsidRPr="000C768D">
        <w:rPr>
          <w:rFonts w:ascii="Cambria" w:hAnsi="Cambria"/>
          <w:color w:val="auto"/>
        </w:rPr>
        <w:t xml:space="preserve"> i profilu kształcenia w stopniu umożliwiającym zaliczenie określonych przedmiotów/modułów oraz praktyk wraz z przyp</w:t>
      </w:r>
      <w:r w:rsidRPr="000C768D">
        <w:rPr>
          <w:rFonts w:ascii="Cambria" w:hAnsi="Cambria"/>
          <w:color w:val="auto"/>
        </w:rPr>
        <w:t>i</w:t>
      </w:r>
      <w:r w:rsidR="00D80FFB">
        <w:rPr>
          <w:rFonts w:ascii="Cambria" w:hAnsi="Cambria"/>
          <w:color w:val="auto"/>
        </w:rPr>
        <w:t>sanymi do nich punktami ECTS.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4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 xml:space="preserve">Stwierdzenie niezgodności, o której mówi ust. 3, nie stanowi podstawy żądania przez </w:t>
      </w:r>
      <w:r>
        <w:rPr>
          <w:rFonts w:ascii="Cambria" w:hAnsi="Cambria"/>
          <w:color w:val="auto"/>
        </w:rPr>
        <w:t>k</w:t>
      </w:r>
      <w:r w:rsidRPr="000C768D">
        <w:rPr>
          <w:rFonts w:ascii="Cambria" w:hAnsi="Cambria"/>
          <w:color w:val="auto"/>
        </w:rPr>
        <w:t>andydata zwrotu wniesionej opłaty.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14"/>
        </w:numPr>
        <w:ind w:left="357" w:hanging="357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Przeprowadzona przez Komisję ds. po</w:t>
      </w:r>
      <w:r w:rsidR="00AD1A83">
        <w:rPr>
          <w:rFonts w:ascii="Cambria" w:hAnsi="Cambria"/>
          <w:color w:val="auto"/>
        </w:rPr>
        <w:t>twierdzania efektów uczenia się weryfikacj</w:t>
      </w:r>
      <w:r>
        <w:rPr>
          <w:rFonts w:ascii="Cambria" w:hAnsi="Cambria"/>
          <w:color w:val="auto"/>
        </w:rPr>
        <w:t>a stanowi podstawę do wydania pozytywnej lub negatywnej decyzji o potwierdzeniu efe</w:t>
      </w:r>
      <w:r>
        <w:rPr>
          <w:rFonts w:ascii="Cambria" w:hAnsi="Cambria"/>
          <w:color w:val="auto"/>
        </w:rPr>
        <w:t>k</w:t>
      </w:r>
      <w:r w:rsidR="00AD1A83">
        <w:rPr>
          <w:rFonts w:ascii="Cambria" w:hAnsi="Cambria"/>
          <w:color w:val="auto"/>
        </w:rPr>
        <w:t>tów uczenia się.</w:t>
      </w: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8</w:t>
      </w:r>
    </w:p>
    <w:p w:rsidR="001B054D" w:rsidRPr="00C24C31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Default="001B054D" w:rsidP="0025112A">
      <w:pPr>
        <w:numPr>
          <w:ilvl w:val="0"/>
          <w:numId w:val="25"/>
        </w:numPr>
        <w:suppressAutoHyphens/>
        <w:ind w:left="360"/>
        <w:jc w:val="both"/>
        <w:rPr>
          <w:rFonts w:ascii="Cambria" w:hAnsi="Cambria" w:cs="Arial"/>
        </w:rPr>
      </w:pPr>
      <w:r w:rsidRPr="000C768D">
        <w:rPr>
          <w:rFonts w:ascii="Cambria" w:hAnsi="Cambria" w:cs="Arial"/>
        </w:rPr>
        <w:t xml:space="preserve">W przypadku </w:t>
      </w:r>
      <w:r>
        <w:rPr>
          <w:rFonts w:ascii="Cambria" w:hAnsi="Cambria" w:cs="Arial"/>
        </w:rPr>
        <w:t>negatywnej decyzji o potwierdzeniu efektów uczenia się k</w:t>
      </w:r>
      <w:r w:rsidRPr="000C768D">
        <w:rPr>
          <w:rFonts w:ascii="Cambria" w:hAnsi="Cambria" w:cs="Arial"/>
        </w:rPr>
        <w:t xml:space="preserve">andydat może zgłosić - w ciągu siedmiu dni od daty </w:t>
      </w:r>
      <w:r>
        <w:rPr>
          <w:rFonts w:ascii="Cambria" w:hAnsi="Cambria" w:cs="Arial"/>
        </w:rPr>
        <w:t>otrzymania negatywnej decyzji, o której mowa w</w:t>
      </w:r>
      <w:r w:rsidRPr="000C768D">
        <w:rPr>
          <w:rFonts w:ascii="Cambria" w:hAnsi="Cambria" w:cs="Arial"/>
        </w:rPr>
        <w:t xml:space="preserve"> </w:t>
      </w:r>
      <w:r w:rsidRPr="000C768D">
        <w:rPr>
          <w:rFonts w:ascii="Cambria" w:hAnsi="Cambria"/>
        </w:rPr>
        <w:t xml:space="preserve">§ </w:t>
      </w:r>
      <w:r w:rsidRPr="000C768D">
        <w:rPr>
          <w:rFonts w:ascii="Cambria" w:hAnsi="Cambria" w:cs="Arial"/>
        </w:rPr>
        <w:t>7 ust</w:t>
      </w:r>
      <w:r>
        <w:rPr>
          <w:rFonts w:ascii="Cambria" w:hAnsi="Cambria" w:cs="Arial"/>
        </w:rPr>
        <w:t>. 5</w:t>
      </w:r>
      <w:r w:rsidRPr="000C768D">
        <w:rPr>
          <w:rFonts w:ascii="Cambria" w:hAnsi="Cambria" w:cs="Arial"/>
        </w:rPr>
        <w:t xml:space="preserve"> pisemn</w:t>
      </w:r>
      <w:r>
        <w:rPr>
          <w:rFonts w:ascii="Cambria" w:hAnsi="Cambria" w:cs="Arial"/>
        </w:rPr>
        <w:t>e</w:t>
      </w:r>
      <w:r w:rsidRPr="000C768D">
        <w:rPr>
          <w:rFonts w:ascii="Cambria" w:hAnsi="Cambria" w:cs="Arial"/>
        </w:rPr>
        <w:t xml:space="preserve"> </w:t>
      </w:r>
      <w:r w:rsidR="00D54AB3">
        <w:rPr>
          <w:rFonts w:ascii="Cambria" w:hAnsi="Cambria" w:cs="Arial"/>
        </w:rPr>
        <w:t>odwołanie do dziekana.</w:t>
      </w:r>
    </w:p>
    <w:p w:rsidR="001B054D" w:rsidRPr="004E4E35" w:rsidRDefault="001B054D" w:rsidP="004E4E35">
      <w:pPr>
        <w:numPr>
          <w:ilvl w:val="0"/>
          <w:numId w:val="25"/>
        </w:numPr>
        <w:suppressAutoHyphens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Dziekan powołuje w terminie 7 dni od daty wniesienia pisemnego odwołania</w:t>
      </w:r>
      <w:r w:rsidR="004E4E3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K</w:t>
      </w:r>
      <w:r w:rsidRPr="000C768D">
        <w:rPr>
          <w:rFonts w:ascii="Cambria" w:hAnsi="Cambria" w:cs="Arial"/>
        </w:rPr>
        <w:t xml:space="preserve">omisję odwoławczą </w:t>
      </w:r>
      <w:r w:rsidRPr="00B20152">
        <w:rPr>
          <w:rFonts w:ascii="Cambria" w:hAnsi="Cambria"/>
        </w:rPr>
        <w:t xml:space="preserve">ds. potwierdzania efektów uczenia się </w:t>
      </w:r>
      <w:r w:rsidRPr="000C768D">
        <w:rPr>
          <w:rFonts w:ascii="Cambria" w:hAnsi="Cambria" w:cs="Arial"/>
        </w:rPr>
        <w:t xml:space="preserve">celem </w:t>
      </w:r>
      <w:r>
        <w:rPr>
          <w:rFonts w:ascii="Cambria" w:hAnsi="Cambria" w:cs="Arial"/>
        </w:rPr>
        <w:t>jego rozpatrzenia.</w:t>
      </w:r>
    </w:p>
    <w:p w:rsidR="001B054D" w:rsidRPr="000C768D" w:rsidRDefault="001B054D" w:rsidP="001B054D">
      <w:pPr>
        <w:numPr>
          <w:ilvl w:val="1"/>
          <w:numId w:val="24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rFonts w:ascii="Cambria" w:hAnsi="Cambria" w:cs="Arial"/>
          <w:bCs/>
        </w:rPr>
      </w:pPr>
      <w:r w:rsidRPr="000C768D">
        <w:rPr>
          <w:rFonts w:ascii="Cambria" w:hAnsi="Cambria" w:cs="Arial"/>
        </w:rPr>
        <w:t xml:space="preserve">W skład </w:t>
      </w:r>
      <w:r>
        <w:rPr>
          <w:rFonts w:ascii="Cambria" w:hAnsi="Cambria" w:cs="Arial"/>
        </w:rPr>
        <w:t>K</w:t>
      </w:r>
      <w:r w:rsidRPr="000C768D">
        <w:rPr>
          <w:rFonts w:ascii="Cambria" w:hAnsi="Cambria" w:cs="Arial"/>
        </w:rPr>
        <w:t xml:space="preserve">omisji </w:t>
      </w:r>
      <w:r w:rsidRPr="00B20152">
        <w:rPr>
          <w:rFonts w:ascii="Cambria" w:hAnsi="Cambria" w:cs="Arial"/>
        </w:rPr>
        <w:t>odwoławczej</w:t>
      </w:r>
      <w:r w:rsidRPr="00B20152">
        <w:rPr>
          <w:rFonts w:ascii="Cambria" w:hAnsi="Cambria"/>
        </w:rPr>
        <w:t xml:space="preserve"> ds. potwierdzania efektów uczenia się</w:t>
      </w:r>
      <w:r>
        <w:rPr>
          <w:rFonts w:ascii="Cambria" w:hAnsi="Cambria"/>
        </w:rPr>
        <w:t xml:space="preserve"> </w:t>
      </w:r>
      <w:r w:rsidRPr="000C768D">
        <w:rPr>
          <w:rFonts w:ascii="Cambria" w:hAnsi="Cambria" w:cs="Arial"/>
        </w:rPr>
        <w:t>wchodzi dziekan, jako jej przewodniczący, oraz co najmniej dwóch nauczycieli akademickich wskazanych przez dziekana.</w:t>
      </w:r>
    </w:p>
    <w:p w:rsidR="001B054D" w:rsidRPr="000C768D" w:rsidRDefault="001B054D" w:rsidP="001B054D">
      <w:pPr>
        <w:numPr>
          <w:ilvl w:val="1"/>
          <w:numId w:val="24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rFonts w:ascii="Cambria" w:hAnsi="Cambria" w:cs="Arial"/>
        </w:rPr>
      </w:pPr>
      <w:r w:rsidRPr="000C768D">
        <w:rPr>
          <w:rFonts w:ascii="Cambria" w:hAnsi="Cambria" w:cs="Arial"/>
          <w:bCs/>
        </w:rPr>
        <w:t xml:space="preserve">W skład </w:t>
      </w:r>
      <w:r>
        <w:rPr>
          <w:rFonts w:ascii="Cambria" w:hAnsi="Cambria" w:cs="Arial"/>
          <w:bCs/>
        </w:rPr>
        <w:t>K</w:t>
      </w:r>
      <w:r w:rsidRPr="000C768D">
        <w:rPr>
          <w:rFonts w:ascii="Cambria" w:hAnsi="Cambria" w:cs="Arial"/>
          <w:bCs/>
        </w:rPr>
        <w:t>omisji odwoławczej</w:t>
      </w:r>
      <w:r w:rsidRPr="00B20152">
        <w:rPr>
          <w:rFonts w:ascii="Cambria" w:hAnsi="Cambria"/>
        </w:rPr>
        <w:t xml:space="preserve"> ds. potwierdzania efektów uczenia się</w:t>
      </w:r>
      <w:r>
        <w:rPr>
          <w:rFonts w:ascii="Cambria" w:hAnsi="Cambria"/>
        </w:rPr>
        <w:t xml:space="preserve"> </w:t>
      </w:r>
      <w:r w:rsidRPr="000C768D">
        <w:rPr>
          <w:rFonts w:ascii="Cambria" w:hAnsi="Cambria" w:cs="Arial"/>
          <w:bCs/>
        </w:rPr>
        <w:t xml:space="preserve">nie mogą wchodzić osoby będące członkami </w:t>
      </w:r>
      <w:r>
        <w:rPr>
          <w:rFonts w:ascii="Cambria" w:hAnsi="Cambria" w:cs="Arial"/>
          <w:bCs/>
        </w:rPr>
        <w:t>K</w:t>
      </w:r>
      <w:r w:rsidRPr="000C768D">
        <w:rPr>
          <w:rFonts w:ascii="Cambria" w:hAnsi="Cambria" w:cs="Arial"/>
          <w:bCs/>
        </w:rPr>
        <w:t>omisji</w:t>
      </w:r>
      <w:r>
        <w:rPr>
          <w:rFonts w:ascii="Cambria" w:hAnsi="Cambria" w:cs="Arial"/>
          <w:bCs/>
        </w:rPr>
        <w:t xml:space="preserve"> </w:t>
      </w:r>
      <w:r w:rsidRPr="00E1613D">
        <w:rPr>
          <w:rFonts w:ascii="Cambria" w:hAnsi="Cambria"/>
        </w:rPr>
        <w:t>ds. potwierdzania efektów uczenia się</w:t>
      </w:r>
      <w:r w:rsidRPr="000C768D">
        <w:rPr>
          <w:rFonts w:ascii="Cambria" w:hAnsi="Cambria" w:cs="Arial"/>
          <w:bCs/>
        </w:rPr>
        <w:t>, której prac dotyczy wniosek o przeprowadzenie procedury odwoławczej.</w:t>
      </w:r>
      <w:r w:rsidRPr="000C768D">
        <w:rPr>
          <w:rFonts w:ascii="Cambria" w:hAnsi="Cambria" w:cs="Arial"/>
        </w:rPr>
        <w:t xml:space="preserve"> </w:t>
      </w:r>
    </w:p>
    <w:p w:rsidR="001B054D" w:rsidRPr="000C768D" w:rsidRDefault="001B054D" w:rsidP="001B054D">
      <w:pPr>
        <w:numPr>
          <w:ilvl w:val="1"/>
          <w:numId w:val="24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rFonts w:ascii="Cambria" w:hAnsi="Cambria" w:cs="Arial"/>
        </w:rPr>
      </w:pPr>
      <w:r w:rsidRPr="000C768D">
        <w:rPr>
          <w:rFonts w:ascii="Cambria" w:hAnsi="Cambria" w:cs="Arial"/>
        </w:rPr>
        <w:t xml:space="preserve">Decyzja </w:t>
      </w:r>
      <w:r>
        <w:rPr>
          <w:rFonts w:ascii="Cambria" w:hAnsi="Cambria" w:cs="Arial"/>
        </w:rPr>
        <w:t>K</w:t>
      </w:r>
      <w:r w:rsidRPr="000C768D">
        <w:rPr>
          <w:rFonts w:ascii="Cambria" w:hAnsi="Cambria" w:cs="Arial"/>
        </w:rPr>
        <w:t xml:space="preserve">omisji odwoławczej </w:t>
      </w:r>
      <w:r w:rsidRPr="00B20152">
        <w:rPr>
          <w:rFonts w:ascii="Cambria" w:hAnsi="Cambria"/>
        </w:rPr>
        <w:t>ds. potwierdzania efektów uczenia si</w:t>
      </w:r>
      <w:r w:rsidR="00D54AB3">
        <w:rPr>
          <w:rFonts w:ascii="Cambria" w:hAnsi="Cambria"/>
        </w:rPr>
        <w:t xml:space="preserve">ę </w:t>
      </w:r>
      <w:r w:rsidRPr="000C768D">
        <w:rPr>
          <w:rFonts w:ascii="Cambria" w:hAnsi="Cambria" w:cs="Arial"/>
        </w:rPr>
        <w:t>jest ostateczna.</w:t>
      </w: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</w:p>
    <w:p w:rsidR="001B054D" w:rsidRPr="000C768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9</w:t>
      </w:r>
    </w:p>
    <w:p w:rsidR="001B054D" w:rsidRPr="00C24C31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Default="001B054D" w:rsidP="001B054D">
      <w:pPr>
        <w:pStyle w:val="Default"/>
        <w:keepNext/>
        <w:widowControl w:val="0"/>
        <w:jc w:val="both"/>
        <w:rPr>
          <w:rFonts w:ascii="Cambria" w:hAnsi="Cambria"/>
          <w:color w:val="auto"/>
          <w:spacing w:val="-2"/>
        </w:rPr>
      </w:pPr>
      <w:r w:rsidRPr="003A57CC">
        <w:rPr>
          <w:rFonts w:ascii="Cambria" w:hAnsi="Cambria"/>
          <w:color w:val="auto"/>
          <w:spacing w:val="-4"/>
        </w:rPr>
        <w:t>Szczegółową organizację potwierdzania efektów uczenia się dla danego kierunku, p</w:t>
      </w:r>
      <w:r w:rsidRPr="003A57CC">
        <w:rPr>
          <w:rFonts w:ascii="Cambria" w:hAnsi="Cambria"/>
          <w:color w:val="auto"/>
          <w:spacing w:val="-4"/>
        </w:rPr>
        <w:t>o</w:t>
      </w:r>
      <w:r w:rsidRPr="003A57CC">
        <w:rPr>
          <w:rFonts w:ascii="Cambria" w:hAnsi="Cambria"/>
          <w:color w:val="auto"/>
          <w:spacing w:val="-4"/>
        </w:rPr>
        <w:t xml:space="preserve">ziomu </w:t>
      </w:r>
      <w:r w:rsidR="00347EAF">
        <w:rPr>
          <w:rFonts w:ascii="Cambria" w:hAnsi="Cambria"/>
          <w:color w:val="auto"/>
          <w:spacing w:val="-4"/>
        </w:rPr>
        <w:br/>
      </w:r>
      <w:r w:rsidRPr="003A57CC">
        <w:rPr>
          <w:rFonts w:ascii="Cambria" w:hAnsi="Cambria"/>
          <w:color w:val="auto"/>
          <w:spacing w:val="-4"/>
        </w:rPr>
        <w:t xml:space="preserve">i profilu kształcenia </w:t>
      </w:r>
      <w:r w:rsidRPr="003A57CC">
        <w:rPr>
          <w:rFonts w:ascii="Cambria" w:hAnsi="Cambria"/>
          <w:color w:val="auto"/>
          <w:spacing w:val="-2"/>
        </w:rPr>
        <w:t>określa rada wydziału i podaje do wiadomości publicznej nie pó</w:t>
      </w:r>
      <w:r w:rsidRPr="003A57CC">
        <w:rPr>
          <w:rFonts w:ascii="Cambria" w:hAnsi="Cambria"/>
          <w:color w:val="auto"/>
          <w:spacing w:val="-2"/>
        </w:rPr>
        <w:t>ź</w:t>
      </w:r>
      <w:r w:rsidRPr="003A57CC">
        <w:rPr>
          <w:rFonts w:ascii="Cambria" w:hAnsi="Cambria"/>
          <w:color w:val="auto"/>
          <w:spacing w:val="-2"/>
        </w:rPr>
        <w:t>niej niż do</w:t>
      </w:r>
      <w:r>
        <w:rPr>
          <w:rFonts w:ascii="Cambria" w:hAnsi="Cambria"/>
          <w:color w:val="auto"/>
          <w:spacing w:val="-2"/>
        </w:rPr>
        <w:t xml:space="preserve"> końca</w:t>
      </w:r>
      <w:r w:rsidRPr="003A57CC">
        <w:rPr>
          <w:rFonts w:ascii="Cambria" w:hAnsi="Cambria"/>
          <w:color w:val="auto"/>
          <w:spacing w:val="-2"/>
        </w:rPr>
        <w:t xml:space="preserve"> lutego roku akademickiego poprzedzającego rok przyjęcia na studia w ramach p</w:t>
      </w:r>
      <w:r w:rsidRPr="003A57CC">
        <w:rPr>
          <w:rFonts w:ascii="Cambria" w:hAnsi="Cambria"/>
          <w:color w:val="auto"/>
          <w:spacing w:val="-2"/>
        </w:rPr>
        <w:t>o</w:t>
      </w:r>
      <w:r w:rsidRPr="003A57CC">
        <w:rPr>
          <w:rFonts w:ascii="Cambria" w:hAnsi="Cambria"/>
          <w:color w:val="auto"/>
          <w:spacing w:val="-2"/>
        </w:rPr>
        <w:t>twierdzenia efektów uczenia się.</w:t>
      </w:r>
    </w:p>
    <w:p w:rsidR="00C9078A" w:rsidRDefault="00C9078A" w:rsidP="0077775C">
      <w:pPr>
        <w:jc w:val="center"/>
        <w:rPr>
          <w:rFonts w:ascii="Cambria" w:hAnsi="Cambria" w:cs="Arial"/>
        </w:rPr>
      </w:pPr>
    </w:p>
    <w:p w:rsidR="0077775C" w:rsidRPr="0077775C" w:rsidRDefault="001B054D" w:rsidP="0077775C">
      <w:pPr>
        <w:jc w:val="center"/>
        <w:rPr>
          <w:rFonts w:ascii="Cambria" w:hAnsi="Cambria" w:cs="Arial"/>
        </w:rPr>
      </w:pPr>
      <w:r w:rsidRPr="0077775C">
        <w:rPr>
          <w:rFonts w:ascii="Cambria" w:hAnsi="Cambria" w:cs="Arial"/>
        </w:rPr>
        <w:t>§ 10</w:t>
      </w:r>
    </w:p>
    <w:p w:rsidR="001B054D" w:rsidRPr="0077775C" w:rsidRDefault="001B054D" w:rsidP="00CF0AC2">
      <w:pPr>
        <w:spacing w:before="120"/>
        <w:jc w:val="both"/>
        <w:rPr>
          <w:rFonts w:ascii="Cambria" w:hAnsi="Cambria" w:cs="Arial"/>
        </w:rPr>
      </w:pPr>
      <w:r w:rsidRPr="0077775C">
        <w:rPr>
          <w:rFonts w:ascii="Cambria" w:hAnsi="Cambria"/>
        </w:rPr>
        <w:t>Decyzję o przyjęciu na studia w wyniku potwierdzenia efektów uczenia się podejmuje Wydziałowa Komisja Rekrutacyjna, uwzględniając ranking kandydatów oraz ocenę K</w:t>
      </w:r>
      <w:r w:rsidRPr="0077775C">
        <w:rPr>
          <w:rFonts w:ascii="Cambria" w:hAnsi="Cambria"/>
        </w:rPr>
        <w:t>o</w:t>
      </w:r>
      <w:r w:rsidRPr="0077775C">
        <w:rPr>
          <w:rFonts w:ascii="Cambria" w:hAnsi="Cambria"/>
        </w:rPr>
        <w:t>misji ds. potw</w:t>
      </w:r>
      <w:r w:rsidR="00C24C31">
        <w:rPr>
          <w:rFonts w:ascii="Cambria" w:hAnsi="Cambria"/>
        </w:rPr>
        <w:t>ierdzania efektów uczenia się.</w:t>
      </w:r>
    </w:p>
    <w:p w:rsidR="00984D7F" w:rsidRPr="000C768D" w:rsidRDefault="00984D7F" w:rsidP="0077775C">
      <w:pPr>
        <w:pStyle w:val="Default"/>
        <w:keepNext/>
        <w:widowControl w:val="0"/>
        <w:rPr>
          <w:rFonts w:ascii="Cambria" w:hAnsi="Cambria"/>
          <w:color w:val="auto"/>
        </w:rPr>
      </w:pPr>
    </w:p>
    <w:p w:rsidR="001B054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11</w:t>
      </w:r>
    </w:p>
    <w:p w:rsidR="00C24C31" w:rsidRPr="00574323" w:rsidRDefault="00C24C31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22"/>
        </w:numPr>
        <w:ind w:left="357" w:hanging="357"/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W sprawach związanych z potwierdzaniem efektów uczenia się nieuregulowanych n</w:t>
      </w:r>
      <w:r w:rsidRPr="000C768D">
        <w:rPr>
          <w:rFonts w:ascii="Cambria" w:hAnsi="Cambria"/>
          <w:color w:val="auto"/>
        </w:rPr>
        <w:t>i</w:t>
      </w:r>
      <w:r w:rsidRPr="000C768D">
        <w:rPr>
          <w:rFonts w:ascii="Cambria" w:hAnsi="Cambria"/>
          <w:color w:val="auto"/>
        </w:rPr>
        <w:t>niejszą uchwałą decyzje podejmuje: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23"/>
        </w:numPr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 xml:space="preserve">w trakcie przeprowadzania procedury – właściwa </w:t>
      </w:r>
      <w:r>
        <w:rPr>
          <w:rFonts w:ascii="Cambria" w:hAnsi="Cambria"/>
          <w:color w:val="auto"/>
        </w:rPr>
        <w:t>K</w:t>
      </w:r>
      <w:r w:rsidRPr="000C768D">
        <w:rPr>
          <w:rFonts w:ascii="Cambria" w:hAnsi="Cambria"/>
          <w:color w:val="auto"/>
        </w:rPr>
        <w:t>omisja ds. potwierdzenia efe</w:t>
      </w:r>
      <w:r w:rsidRPr="000C768D">
        <w:rPr>
          <w:rFonts w:ascii="Cambria" w:hAnsi="Cambria"/>
          <w:color w:val="auto"/>
        </w:rPr>
        <w:t>k</w:t>
      </w:r>
      <w:r w:rsidRPr="000C768D">
        <w:rPr>
          <w:rFonts w:ascii="Cambria" w:hAnsi="Cambria"/>
          <w:color w:val="auto"/>
        </w:rPr>
        <w:t>tów uczenia się lub odwoławcza komisja ds. potwierdzenia efektów uczenia się,</w:t>
      </w:r>
    </w:p>
    <w:p w:rsidR="001B054D" w:rsidRPr="000C768D" w:rsidRDefault="001B054D" w:rsidP="001B054D">
      <w:pPr>
        <w:pStyle w:val="Default"/>
        <w:keepNext/>
        <w:widowControl w:val="0"/>
        <w:numPr>
          <w:ilvl w:val="0"/>
          <w:numId w:val="23"/>
        </w:numPr>
        <w:jc w:val="both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w pozostałych sprawach – dziekan.</w:t>
      </w:r>
    </w:p>
    <w:p w:rsidR="001B054D" w:rsidRPr="000C768D" w:rsidRDefault="001B054D" w:rsidP="00C24C31">
      <w:pPr>
        <w:pStyle w:val="Default"/>
        <w:keepNext/>
        <w:widowControl w:val="0"/>
        <w:rPr>
          <w:rFonts w:ascii="Cambria" w:hAnsi="Cambria"/>
          <w:color w:val="auto"/>
        </w:rPr>
      </w:pPr>
    </w:p>
    <w:p w:rsidR="001B054D" w:rsidRDefault="001B054D" w:rsidP="001B054D">
      <w:pPr>
        <w:pStyle w:val="Default"/>
        <w:keepNext/>
        <w:widowControl w:val="0"/>
        <w:jc w:val="center"/>
        <w:rPr>
          <w:rFonts w:ascii="Cambria" w:hAnsi="Cambria"/>
          <w:color w:val="auto"/>
        </w:rPr>
      </w:pPr>
      <w:r w:rsidRPr="000C768D">
        <w:rPr>
          <w:rFonts w:ascii="Cambria" w:hAnsi="Cambria"/>
          <w:color w:val="auto"/>
        </w:rPr>
        <w:t>§ 12</w:t>
      </w:r>
    </w:p>
    <w:p w:rsidR="00C24C31" w:rsidRPr="00C24C31" w:rsidRDefault="00C24C31" w:rsidP="001B054D">
      <w:pPr>
        <w:pStyle w:val="Default"/>
        <w:keepNext/>
        <w:widowControl w:val="0"/>
        <w:jc w:val="center"/>
        <w:rPr>
          <w:rFonts w:ascii="Cambria" w:hAnsi="Cambria"/>
          <w:color w:val="auto"/>
          <w:sz w:val="20"/>
          <w:szCs w:val="20"/>
        </w:rPr>
      </w:pPr>
    </w:p>
    <w:p w:rsidR="001B054D" w:rsidRPr="000C768D" w:rsidRDefault="000A3160" w:rsidP="001A6D46">
      <w:pPr>
        <w:pStyle w:val="Default"/>
        <w:keepNext/>
        <w:widowControl w:val="0"/>
        <w:jc w:val="both"/>
        <w:outlineLvl w:val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Regulamin</w:t>
      </w:r>
      <w:r w:rsidR="001B054D" w:rsidRPr="000C768D">
        <w:rPr>
          <w:rFonts w:ascii="Cambria" w:hAnsi="Cambria"/>
          <w:color w:val="auto"/>
        </w:rPr>
        <w:t xml:space="preserve"> wchodzi w życie z dniem 1 października 2015 roku.</w:t>
      </w:r>
    </w:p>
    <w:p w:rsidR="001B054D" w:rsidRPr="000C768D" w:rsidRDefault="001B054D" w:rsidP="001B054D">
      <w:pPr>
        <w:pStyle w:val="Style4"/>
        <w:keepNext/>
        <w:ind w:firstLine="567"/>
        <w:jc w:val="both"/>
        <w:rPr>
          <w:rStyle w:val="FontStyle12"/>
          <w:rFonts w:ascii="Cambria" w:hAnsi="Cambria"/>
          <w:spacing w:val="-4"/>
          <w:sz w:val="24"/>
        </w:rPr>
      </w:pPr>
    </w:p>
    <w:p w:rsidR="00AB6E9D" w:rsidRPr="00AB6E9D" w:rsidRDefault="00AB6E9D" w:rsidP="00AB6E9D">
      <w:pPr>
        <w:rPr>
          <w:sz w:val="22"/>
          <w:szCs w:val="22"/>
        </w:rPr>
      </w:pPr>
    </w:p>
    <w:sectPr w:rsidR="00AB6E9D" w:rsidRPr="00AB6E9D" w:rsidSect="00B201E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0D8"/>
    <w:multiLevelType w:val="hybridMultilevel"/>
    <w:tmpl w:val="F648E584"/>
    <w:lvl w:ilvl="0" w:tplc="216EF1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6AC"/>
    <w:multiLevelType w:val="singleLevel"/>
    <w:tmpl w:val="DBF4B1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DA3D76"/>
    <w:multiLevelType w:val="multilevel"/>
    <w:tmpl w:val="BEE84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Mang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A3F4F6D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834813"/>
    <w:multiLevelType w:val="hybridMultilevel"/>
    <w:tmpl w:val="87181B78"/>
    <w:lvl w:ilvl="0" w:tplc="20A26D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63F5A"/>
    <w:multiLevelType w:val="hybridMultilevel"/>
    <w:tmpl w:val="342CF69E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0836"/>
    <w:multiLevelType w:val="hybridMultilevel"/>
    <w:tmpl w:val="81F4D3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8221D"/>
    <w:multiLevelType w:val="hybridMultilevel"/>
    <w:tmpl w:val="E57C5CB8"/>
    <w:lvl w:ilvl="0" w:tplc="0908B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88EC74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B594A3F8">
      <w:start w:val="4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00848"/>
    <w:multiLevelType w:val="singleLevel"/>
    <w:tmpl w:val="490A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6B4A86"/>
    <w:multiLevelType w:val="singleLevel"/>
    <w:tmpl w:val="292024E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002016C"/>
    <w:multiLevelType w:val="hybridMultilevel"/>
    <w:tmpl w:val="CD249DE0"/>
    <w:lvl w:ilvl="0" w:tplc="88046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36CF"/>
    <w:multiLevelType w:val="hybridMultilevel"/>
    <w:tmpl w:val="5FEA094C"/>
    <w:lvl w:ilvl="0" w:tplc="AA88A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886353"/>
    <w:multiLevelType w:val="hybridMultilevel"/>
    <w:tmpl w:val="7B8E66E8"/>
    <w:lvl w:ilvl="0" w:tplc="D0980A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7B7"/>
    <w:multiLevelType w:val="hybridMultilevel"/>
    <w:tmpl w:val="D68EBCBA"/>
    <w:lvl w:ilvl="0" w:tplc="D75A19B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9DF504A"/>
    <w:multiLevelType w:val="hybridMultilevel"/>
    <w:tmpl w:val="D1D0BC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57D4D"/>
    <w:multiLevelType w:val="singleLevel"/>
    <w:tmpl w:val="DAA6D5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F16DFB"/>
    <w:multiLevelType w:val="multilevel"/>
    <w:tmpl w:val="4112AAF8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00077CB"/>
    <w:multiLevelType w:val="hybridMultilevel"/>
    <w:tmpl w:val="08564E4E"/>
    <w:lvl w:ilvl="0" w:tplc="B6E2A9B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E7F40"/>
    <w:multiLevelType w:val="hybridMultilevel"/>
    <w:tmpl w:val="386CF5EE"/>
    <w:lvl w:ilvl="0" w:tplc="8D3008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03E32"/>
    <w:multiLevelType w:val="hybridMultilevel"/>
    <w:tmpl w:val="92E26B84"/>
    <w:lvl w:ilvl="0" w:tplc="78582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36C5B"/>
    <w:multiLevelType w:val="hybridMultilevel"/>
    <w:tmpl w:val="F6F0E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7D4D2C"/>
    <w:multiLevelType w:val="hybridMultilevel"/>
    <w:tmpl w:val="CC428446"/>
    <w:lvl w:ilvl="0" w:tplc="249281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6BC9"/>
    <w:multiLevelType w:val="multilevel"/>
    <w:tmpl w:val="E3C813BC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D45749"/>
    <w:multiLevelType w:val="hybridMultilevel"/>
    <w:tmpl w:val="A98ABA48"/>
    <w:lvl w:ilvl="0" w:tplc="9148DBA0">
      <w:start w:val="1"/>
      <w:numFmt w:val="decimal"/>
      <w:lvlText w:val="%1."/>
      <w:lvlJc w:val="left"/>
      <w:pPr>
        <w:tabs>
          <w:tab w:val="num" w:pos="1919"/>
        </w:tabs>
        <w:ind w:left="191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40923"/>
    <w:multiLevelType w:val="multilevel"/>
    <w:tmpl w:val="80165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C06C6"/>
    <w:multiLevelType w:val="hybridMultilevel"/>
    <w:tmpl w:val="F856ABE8"/>
    <w:lvl w:ilvl="0" w:tplc="5D7238C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24"/>
    <w:lvlOverride w:ilvl="0">
      <w:startOverride w:val="1"/>
    </w:lvlOverride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22"/>
  </w:num>
  <w:num w:numId="11">
    <w:abstractNumId w:val="16"/>
  </w:num>
  <w:num w:numId="12">
    <w:abstractNumId w:val="10"/>
  </w:num>
  <w:num w:numId="13">
    <w:abstractNumId w:val="20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25"/>
  </w:num>
  <w:num w:numId="19">
    <w:abstractNumId w:val="7"/>
  </w:num>
  <w:num w:numId="20">
    <w:abstractNumId w:val="21"/>
  </w:num>
  <w:num w:numId="21">
    <w:abstractNumId w:val="18"/>
  </w:num>
  <w:num w:numId="22">
    <w:abstractNumId w:val="0"/>
  </w:num>
  <w:num w:numId="23">
    <w:abstractNumId w:val="19"/>
  </w:num>
  <w:num w:numId="24">
    <w:abstractNumId w:val="2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F03CF5"/>
    <w:rsid w:val="00004709"/>
    <w:rsid w:val="00025FD1"/>
    <w:rsid w:val="00026C06"/>
    <w:rsid w:val="000276A3"/>
    <w:rsid w:val="00042720"/>
    <w:rsid w:val="00065F19"/>
    <w:rsid w:val="00066E1E"/>
    <w:rsid w:val="000A3160"/>
    <w:rsid w:val="000F428C"/>
    <w:rsid w:val="001143C7"/>
    <w:rsid w:val="001450ED"/>
    <w:rsid w:val="00157F9B"/>
    <w:rsid w:val="00165DAF"/>
    <w:rsid w:val="00176A6D"/>
    <w:rsid w:val="00181800"/>
    <w:rsid w:val="001A6D46"/>
    <w:rsid w:val="001B054D"/>
    <w:rsid w:val="001F5DEB"/>
    <w:rsid w:val="0025112A"/>
    <w:rsid w:val="002A1CA0"/>
    <w:rsid w:val="002E0CEC"/>
    <w:rsid w:val="002F0E65"/>
    <w:rsid w:val="00313E5C"/>
    <w:rsid w:val="003207B8"/>
    <w:rsid w:val="0033504B"/>
    <w:rsid w:val="00347EAF"/>
    <w:rsid w:val="003A710D"/>
    <w:rsid w:val="003B6C23"/>
    <w:rsid w:val="004230AA"/>
    <w:rsid w:val="00434370"/>
    <w:rsid w:val="00443620"/>
    <w:rsid w:val="004674EB"/>
    <w:rsid w:val="004A34F5"/>
    <w:rsid w:val="004C2E36"/>
    <w:rsid w:val="004D53B2"/>
    <w:rsid w:val="004E4E35"/>
    <w:rsid w:val="00505BCE"/>
    <w:rsid w:val="00574323"/>
    <w:rsid w:val="00595CCB"/>
    <w:rsid w:val="0064182A"/>
    <w:rsid w:val="0064647A"/>
    <w:rsid w:val="006A48F2"/>
    <w:rsid w:val="006B010C"/>
    <w:rsid w:val="006F6111"/>
    <w:rsid w:val="00757ABD"/>
    <w:rsid w:val="0077775C"/>
    <w:rsid w:val="0078093C"/>
    <w:rsid w:val="007D0FD3"/>
    <w:rsid w:val="007F1318"/>
    <w:rsid w:val="0083732E"/>
    <w:rsid w:val="00880FF9"/>
    <w:rsid w:val="00952B72"/>
    <w:rsid w:val="0097455F"/>
    <w:rsid w:val="00984D7F"/>
    <w:rsid w:val="009957C2"/>
    <w:rsid w:val="009F5B0E"/>
    <w:rsid w:val="00A16A6A"/>
    <w:rsid w:val="00A21B70"/>
    <w:rsid w:val="00AA4A71"/>
    <w:rsid w:val="00AB6E9D"/>
    <w:rsid w:val="00AD1A83"/>
    <w:rsid w:val="00AD76C2"/>
    <w:rsid w:val="00B02B35"/>
    <w:rsid w:val="00B201E8"/>
    <w:rsid w:val="00B2149D"/>
    <w:rsid w:val="00B646FD"/>
    <w:rsid w:val="00B80593"/>
    <w:rsid w:val="00B879F0"/>
    <w:rsid w:val="00B90D26"/>
    <w:rsid w:val="00C12D9A"/>
    <w:rsid w:val="00C12EED"/>
    <w:rsid w:val="00C213F5"/>
    <w:rsid w:val="00C24C31"/>
    <w:rsid w:val="00C55DFF"/>
    <w:rsid w:val="00C9078A"/>
    <w:rsid w:val="00CF0AC2"/>
    <w:rsid w:val="00D06ABD"/>
    <w:rsid w:val="00D26571"/>
    <w:rsid w:val="00D27C8F"/>
    <w:rsid w:val="00D54AB3"/>
    <w:rsid w:val="00D650AB"/>
    <w:rsid w:val="00D766EA"/>
    <w:rsid w:val="00D80FFB"/>
    <w:rsid w:val="00DC158F"/>
    <w:rsid w:val="00DE0DF5"/>
    <w:rsid w:val="00E61C18"/>
    <w:rsid w:val="00F03CF5"/>
    <w:rsid w:val="00F076A3"/>
    <w:rsid w:val="00F275DC"/>
    <w:rsid w:val="00F81F9C"/>
    <w:rsid w:val="00F82612"/>
    <w:rsid w:val="00F86CF8"/>
    <w:rsid w:val="00FD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both"/>
      <w:outlineLvl w:val="1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right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eastAsia="Arial Unicode MS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spacing w:after="120"/>
      <w:ind w:left="357"/>
      <w:jc w:val="both"/>
      <w:outlineLvl w:val="4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pPr>
      <w:keepNext/>
      <w:spacing w:after="180"/>
      <w:outlineLvl w:val="5"/>
    </w:pPr>
    <w:rPr>
      <w:rFonts w:eastAsia="Arial Unicode MS"/>
      <w:szCs w:val="20"/>
    </w:rPr>
  </w:style>
  <w:style w:type="paragraph" w:styleId="Nagwek7">
    <w:name w:val="heading 7"/>
    <w:basedOn w:val="Normalny"/>
    <w:next w:val="Normalny"/>
    <w:qFormat/>
    <w:pPr>
      <w:keepNext/>
      <w:spacing w:line="480" w:lineRule="auto"/>
      <w:jc w:val="center"/>
      <w:outlineLvl w:val="6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F03CF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766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66EA"/>
    <w:rPr>
      <w:sz w:val="24"/>
      <w:szCs w:val="24"/>
    </w:rPr>
  </w:style>
  <w:style w:type="paragraph" w:customStyle="1" w:styleId="Style1">
    <w:name w:val="Style1"/>
    <w:basedOn w:val="Normalny"/>
    <w:rsid w:val="00F076A3"/>
    <w:pPr>
      <w:widowControl w:val="0"/>
      <w:autoSpaceDE w:val="0"/>
      <w:autoSpaceDN w:val="0"/>
      <w:adjustRightInd w:val="0"/>
      <w:spacing w:line="360" w:lineRule="exact"/>
      <w:jc w:val="center"/>
    </w:pPr>
    <w:rPr>
      <w:sz w:val="20"/>
    </w:rPr>
  </w:style>
  <w:style w:type="paragraph" w:customStyle="1" w:styleId="Style4">
    <w:name w:val="Style4"/>
    <w:basedOn w:val="Normalny"/>
    <w:rsid w:val="00F076A3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F076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1B054D"/>
    <w:rPr>
      <w:rFonts w:ascii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rsid w:val="001B0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054D"/>
    <w:rPr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1B054D"/>
    <w:rPr>
      <w:sz w:val="16"/>
      <w:szCs w:val="16"/>
    </w:rPr>
  </w:style>
  <w:style w:type="paragraph" w:styleId="Plandokumentu">
    <w:name w:val="Document Map"/>
    <w:basedOn w:val="Normalny"/>
    <w:semiHidden/>
    <w:rsid w:val="001A6D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wstpniesformatowany">
    <w:name w:val="HTML Preformatted"/>
    <w:basedOn w:val="Normalny"/>
    <w:rsid w:val="00C5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 – 0121 – 37/05</vt:lpstr>
    </vt:vector>
  </TitlesOfParts>
  <Company>ae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– 0121 – 37/05</dc:title>
  <dc:subject/>
  <dc:creator>joanna</dc:creator>
  <cp:keywords/>
  <cp:lastModifiedBy>Lenovo User</cp:lastModifiedBy>
  <cp:revision>2</cp:revision>
  <cp:lastPrinted>2015-07-02T11:42:00Z</cp:lastPrinted>
  <dcterms:created xsi:type="dcterms:W3CDTF">2016-04-21T09:09:00Z</dcterms:created>
  <dcterms:modified xsi:type="dcterms:W3CDTF">2016-04-21T09:09:00Z</dcterms:modified>
</cp:coreProperties>
</file>