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3C77" w:rsidRDefault="003D75AD">
      <w:pPr>
        <w:spacing w:before="200"/>
        <w:jc w:val="center"/>
        <w:rPr>
          <w:b/>
        </w:rPr>
      </w:pPr>
      <w:bookmarkStart w:id="0" w:name="_GoBack"/>
      <w:bookmarkEnd w:id="0"/>
      <w:r>
        <w:rPr>
          <w:b/>
        </w:rPr>
        <w:t>Rules and Regulations for recruitment and participation in the project</w:t>
      </w:r>
    </w:p>
    <w:p w14:paraId="00000002" w14:textId="77777777" w:rsidR="00183C77" w:rsidRDefault="003D75AD">
      <w:pPr>
        <w:jc w:val="center"/>
        <w:rPr>
          <w:b/>
        </w:rPr>
      </w:pPr>
      <w:r>
        <w:rPr>
          <w:b/>
        </w:rPr>
        <w:t>"International Center of Research Excellence in Transition of Coal Regions (</w:t>
      </w:r>
      <w:proofErr w:type="spellStart"/>
      <w:r>
        <w:rPr>
          <w:b/>
        </w:rPr>
        <w:t>ExCORE</w:t>
      </w:r>
      <w:proofErr w:type="spellEnd"/>
      <w:r>
        <w:rPr>
          <w:b/>
        </w:rPr>
        <w:t>)" implemented under the funds of the National Agency for Academic Exchange</w:t>
      </w:r>
    </w:p>
    <w:p w14:paraId="00000003" w14:textId="77777777" w:rsidR="00183C77" w:rsidRDefault="003D75AD">
      <w:r>
        <w:t xml:space="preserve"> </w:t>
      </w:r>
    </w:p>
    <w:p w14:paraId="00000004" w14:textId="77777777" w:rsidR="00183C77" w:rsidRDefault="003D75AD">
      <w:pPr>
        <w:spacing w:before="200"/>
        <w:jc w:val="center"/>
        <w:rPr>
          <w:b/>
        </w:rPr>
      </w:pPr>
      <w:r>
        <w:rPr>
          <w:b/>
        </w:rPr>
        <w:t>General information about the project</w:t>
      </w:r>
    </w:p>
    <w:p w14:paraId="00000005" w14:textId="77777777" w:rsidR="00183C77" w:rsidRDefault="003D75AD">
      <w:pPr>
        <w:spacing w:before="200"/>
        <w:jc w:val="center"/>
        <w:rPr>
          <w:b/>
        </w:rPr>
      </w:pPr>
      <w:r>
        <w:rPr>
          <w:b/>
        </w:rPr>
        <w:t>§ 1</w:t>
      </w:r>
    </w:p>
    <w:p w14:paraId="00000006"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 xml:space="preserve">The following Rules and </w:t>
      </w:r>
      <w:r>
        <w:t>R</w:t>
      </w:r>
      <w:r>
        <w:rPr>
          <w:color w:val="000000"/>
        </w:rPr>
        <w:t xml:space="preserve">egulations apply to the recruitment of participants </w:t>
      </w:r>
      <w:r>
        <w:t>to</w:t>
      </w:r>
      <w:r>
        <w:rPr>
          <w:color w:val="000000"/>
        </w:rPr>
        <w:t xml:space="preserve"> the "International Center of Research Excellence in Transition of Coal Regions (</w:t>
      </w:r>
      <w:proofErr w:type="spellStart"/>
      <w:r>
        <w:rPr>
          <w:color w:val="000000"/>
        </w:rPr>
        <w:t>ExCORE</w:t>
      </w:r>
      <w:proofErr w:type="spellEnd"/>
      <w:r>
        <w:rPr>
          <w:color w:val="000000"/>
        </w:rPr>
        <w:t xml:space="preserve">)" project, which is financed from the funds of </w:t>
      </w:r>
      <w:r>
        <w:rPr>
          <w:color w:val="000000"/>
        </w:rPr>
        <w:t xml:space="preserve">the National Agency for Academic Exchange, </w:t>
      </w:r>
      <w:r>
        <w:t>(hereinafter referred to as "NAWA")</w:t>
      </w:r>
      <w:r>
        <w:rPr>
          <w:color w:val="000000"/>
        </w:rPr>
        <w:t>.</w:t>
      </w:r>
    </w:p>
    <w:p w14:paraId="00000007"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The aim of the project is to create conditions for networking international research teams and conducting joint research on the transformation of coal regions together with Pro</w:t>
      </w:r>
      <w:r>
        <w:rPr>
          <w:color w:val="000000"/>
        </w:rPr>
        <w:t>ject Partners, as part of the newly formed international Center of Scientific Excellence, for the implementation of the priorities of the University of Economics in Katowice</w:t>
      </w:r>
      <w:r>
        <w:t>’s</w:t>
      </w:r>
      <w:r>
        <w:rPr>
          <w:color w:val="000000"/>
        </w:rPr>
        <w:t xml:space="preserve"> Development Strategy for years 2018 -2025 in the area of ​​internationalization </w:t>
      </w:r>
      <w:r>
        <w:rPr>
          <w:color w:val="000000"/>
        </w:rPr>
        <w:t>of scientific research.</w:t>
      </w:r>
    </w:p>
    <w:p w14:paraId="00000008"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Project participants take part in the project work as members of the research team or as participants in workshops and mentoring sessions.</w:t>
      </w:r>
    </w:p>
    <w:p w14:paraId="00000009"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Members of the research teams will carry out research tasks related to the green transformati</w:t>
      </w:r>
      <w:r>
        <w:rPr>
          <w:color w:val="000000"/>
        </w:rPr>
        <w:t>on of coal regions falling within one of the following thematic areas:</w:t>
      </w:r>
    </w:p>
    <w:p w14:paraId="0000000A" w14:textId="77777777" w:rsidR="00183C77" w:rsidRDefault="003D75AD">
      <w:pPr>
        <w:numPr>
          <w:ilvl w:val="0"/>
          <w:numId w:val="3"/>
        </w:numPr>
        <w:pBdr>
          <w:top w:val="nil"/>
          <w:left w:val="nil"/>
          <w:bottom w:val="nil"/>
          <w:right w:val="nil"/>
          <w:between w:val="nil"/>
        </w:pBdr>
        <w:spacing w:before="200"/>
        <w:jc w:val="both"/>
        <w:rPr>
          <w:color w:val="000000"/>
        </w:rPr>
      </w:pPr>
      <w:r>
        <w:t>e</w:t>
      </w:r>
      <w:r>
        <w:rPr>
          <w:color w:val="000000"/>
        </w:rPr>
        <w:t>conomic effects of green transformation,</w:t>
      </w:r>
    </w:p>
    <w:p w14:paraId="0000000B" w14:textId="77777777" w:rsidR="00183C77" w:rsidRDefault="003D75AD">
      <w:pPr>
        <w:numPr>
          <w:ilvl w:val="0"/>
          <w:numId w:val="3"/>
        </w:numPr>
        <w:pBdr>
          <w:top w:val="nil"/>
          <w:left w:val="nil"/>
          <w:bottom w:val="nil"/>
          <w:right w:val="nil"/>
          <w:between w:val="nil"/>
        </w:pBdr>
        <w:spacing w:before="200"/>
        <w:jc w:val="both"/>
        <w:rPr>
          <w:color w:val="000000"/>
        </w:rPr>
      </w:pPr>
      <w:r>
        <w:t>s</w:t>
      </w:r>
      <w:r>
        <w:rPr>
          <w:color w:val="000000"/>
        </w:rPr>
        <w:t>ocial impact of green transformation,</w:t>
      </w:r>
    </w:p>
    <w:p w14:paraId="0000000C" w14:textId="77777777" w:rsidR="00183C77" w:rsidRDefault="003D75AD">
      <w:pPr>
        <w:numPr>
          <w:ilvl w:val="0"/>
          <w:numId w:val="3"/>
        </w:numPr>
        <w:pBdr>
          <w:top w:val="nil"/>
          <w:left w:val="nil"/>
          <w:bottom w:val="nil"/>
          <w:right w:val="nil"/>
          <w:between w:val="nil"/>
        </w:pBdr>
        <w:spacing w:before="200"/>
        <w:jc w:val="both"/>
        <w:rPr>
          <w:color w:val="000000"/>
        </w:rPr>
      </w:pPr>
      <w:r>
        <w:t>t</w:t>
      </w:r>
      <w:r>
        <w:rPr>
          <w:color w:val="000000"/>
        </w:rPr>
        <w:t>he problem of energy exclusion,</w:t>
      </w:r>
    </w:p>
    <w:p w14:paraId="0000000D" w14:textId="77777777" w:rsidR="00183C77" w:rsidRDefault="003D75AD">
      <w:pPr>
        <w:numPr>
          <w:ilvl w:val="0"/>
          <w:numId w:val="3"/>
        </w:numPr>
        <w:pBdr>
          <w:top w:val="nil"/>
          <w:left w:val="nil"/>
          <w:bottom w:val="nil"/>
          <w:right w:val="nil"/>
          <w:between w:val="nil"/>
        </w:pBdr>
        <w:spacing w:before="200"/>
        <w:jc w:val="both"/>
        <w:rPr>
          <w:color w:val="000000"/>
        </w:rPr>
      </w:pPr>
      <w:r>
        <w:t>i</w:t>
      </w:r>
      <w:r>
        <w:rPr>
          <w:color w:val="000000"/>
        </w:rPr>
        <w:t>nvestments in 4.0 technologies.</w:t>
      </w:r>
    </w:p>
    <w:p w14:paraId="0000000E"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The task of the members of the researc</w:t>
      </w:r>
      <w:r>
        <w:rPr>
          <w:color w:val="000000"/>
        </w:rPr>
        <w:t xml:space="preserve">h teams will </w:t>
      </w:r>
      <w:r>
        <w:t>include</w:t>
      </w:r>
      <w:r>
        <w:rPr>
          <w:color w:val="000000"/>
        </w:rPr>
        <w:t>:</w:t>
      </w:r>
    </w:p>
    <w:p w14:paraId="0000000F" w14:textId="77777777" w:rsidR="00183C77" w:rsidRDefault="003D75AD">
      <w:pPr>
        <w:numPr>
          <w:ilvl w:val="0"/>
          <w:numId w:val="4"/>
        </w:numPr>
        <w:pBdr>
          <w:top w:val="nil"/>
          <w:left w:val="nil"/>
          <w:bottom w:val="nil"/>
          <w:right w:val="nil"/>
          <w:between w:val="nil"/>
        </w:pBdr>
        <w:spacing w:before="200"/>
        <w:jc w:val="both"/>
        <w:rPr>
          <w:color w:val="000000"/>
        </w:rPr>
      </w:pPr>
      <w:r>
        <w:t>i</w:t>
      </w:r>
      <w:r>
        <w:rPr>
          <w:color w:val="000000"/>
        </w:rPr>
        <w:t>dentification of potentially attractive topics in the selected subject area;</w:t>
      </w:r>
    </w:p>
    <w:p w14:paraId="00000010" w14:textId="77777777" w:rsidR="00183C77" w:rsidRDefault="003D75AD">
      <w:pPr>
        <w:numPr>
          <w:ilvl w:val="0"/>
          <w:numId w:val="4"/>
        </w:numPr>
        <w:pBdr>
          <w:top w:val="nil"/>
          <w:left w:val="nil"/>
          <w:bottom w:val="nil"/>
          <w:right w:val="nil"/>
          <w:between w:val="nil"/>
        </w:pBdr>
        <w:spacing w:before="200"/>
        <w:jc w:val="both"/>
        <w:rPr>
          <w:color w:val="000000"/>
        </w:rPr>
      </w:pPr>
      <w:r>
        <w:t>i</w:t>
      </w:r>
      <w:r>
        <w:rPr>
          <w:color w:val="000000"/>
        </w:rPr>
        <w:t>dentification of the literature on the selected topic;</w:t>
      </w:r>
    </w:p>
    <w:p w14:paraId="00000011" w14:textId="77777777" w:rsidR="00183C77" w:rsidRDefault="003D75AD">
      <w:pPr>
        <w:numPr>
          <w:ilvl w:val="0"/>
          <w:numId w:val="4"/>
        </w:numPr>
        <w:pBdr>
          <w:top w:val="nil"/>
          <w:left w:val="nil"/>
          <w:bottom w:val="nil"/>
          <w:right w:val="nil"/>
          <w:between w:val="nil"/>
        </w:pBdr>
        <w:spacing w:before="200"/>
        <w:jc w:val="both"/>
        <w:rPr>
          <w:color w:val="000000"/>
        </w:rPr>
      </w:pPr>
      <w:r>
        <w:t>p</w:t>
      </w:r>
      <w:r>
        <w:rPr>
          <w:color w:val="000000"/>
        </w:rPr>
        <w:t>articipation in workshops and mentoring sessions organized as part of the project with foreign experts (on-line);</w:t>
      </w:r>
    </w:p>
    <w:p w14:paraId="00000012" w14:textId="77777777" w:rsidR="00183C77" w:rsidRDefault="003D75AD">
      <w:pPr>
        <w:numPr>
          <w:ilvl w:val="0"/>
          <w:numId w:val="4"/>
        </w:numPr>
        <w:pBdr>
          <w:top w:val="nil"/>
          <w:left w:val="nil"/>
          <w:bottom w:val="nil"/>
          <w:right w:val="nil"/>
          <w:between w:val="nil"/>
        </w:pBdr>
        <w:spacing w:before="200"/>
        <w:jc w:val="both"/>
        <w:rPr>
          <w:color w:val="000000"/>
        </w:rPr>
      </w:pPr>
      <w:r>
        <w:t>i</w:t>
      </w:r>
      <w:r>
        <w:rPr>
          <w:color w:val="000000"/>
        </w:rPr>
        <w:t>nvolvement in designing empirical research;</w:t>
      </w:r>
    </w:p>
    <w:p w14:paraId="00000013" w14:textId="77777777" w:rsidR="00183C77" w:rsidRDefault="003D75AD">
      <w:pPr>
        <w:numPr>
          <w:ilvl w:val="0"/>
          <w:numId w:val="4"/>
        </w:numPr>
        <w:pBdr>
          <w:top w:val="nil"/>
          <w:left w:val="nil"/>
          <w:bottom w:val="nil"/>
          <w:right w:val="nil"/>
          <w:between w:val="nil"/>
        </w:pBdr>
        <w:spacing w:before="200"/>
        <w:jc w:val="both"/>
        <w:rPr>
          <w:color w:val="000000"/>
        </w:rPr>
      </w:pPr>
      <w:r>
        <w:t>p</w:t>
      </w:r>
      <w:r>
        <w:rPr>
          <w:color w:val="000000"/>
        </w:rPr>
        <w:t>articipation in the analysis of data from empirical research;</w:t>
      </w:r>
    </w:p>
    <w:p w14:paraId="00000014" w14:textId="77777777" w:rsidR="00183C77" w:rsidRDefault="003D75AD">
      <w:pPr>
        <w:numPr>
          <w:ilvl w:val="0"/>
          <w:numId w:val="4"/>
        </w:numPr>
        <w:pBdr>
          <w:top w:val="nil"/>
          <w:left w:val="nil"/>
          <w:bottom w:val="nil"/>
          <w:right w:val="nil"/>
          <w:between w:val="nil"/>
        </w:pBdr>
        <w:spacing w:before="200"/>
        <w:jc w:val="both"/>
        <w:rPr>
          <w:color w:val="000000"/>
        </w:rPr>
      </w:pPr>
      <w:r>
        <w:t>p</w:t>
      </w:r>
      <w:r>
        <w:rPr>
          <w:color w:val="000000"/>
        </w:rPr>
        <w:t>reparation of articles and report</w:t>
      </w:r>
      <w:r>
        <w:rPr>
          <w:color w:val="000000"/>
        </w:rPr>
        <w:t>s on the subject matter;</w:t>
      </w:r>
    </w:p>
    <w:p w14:paraId="00000015" w14:textId="77777777" w:rsidR="00183C77" w:rsidRDefault="003D75AD">
      <w:pPr>
        <w:numPr>
          <w:ilvl w:val="0"/>
          <w:numId w:val="4"/>
        </w:numPr>
        <w:pBdr>
          <w:top w:val="nil"/>
          <w:left w:val="nil"/>
          <w:bottom w:val="nil"/>
          <w:right w:val="nil"/>
          <w:between w:val="nil"/>
        </w:pBdr>
        <w:spacing w:before="200"/>
        <w:jc w:val="both"/>
        <w:rPr>
          <w:color w:val="000000"/>
        </w:rPr>
      </w:pPr>
      <w:r>
        <w:t>p</w:t>
      </w:r>
      <w:r>
        <w:rPr>
          <w:color w:val="000000"/>
        </w:rPr>
        <w:t>articipation in research team meetings at agreed-on time (on-line and on-site);</w:t>
      </w:r>
    </w:p>
    <w:p w14:paraId="00000016" w14:textId="77777777" w:rsidR="00183C77" w:rsidRDefault="003D75AD">
      <w:pPr>
        <w:numPr>
          <w:ilvl w:val="0"/>
          <w:numId w:val="4"/>
        </w:numPr>
        <w:pBdr>
          <w:top w:val="nil"/>
          <w:left w:val="nil"/>
          <w:bottom w:val="nil"/>
          <w:right w:val="nil"/>
          <w:between w:val="nil"/>
        </w:pBdr>
        <w:spacing w:before="200"/>
        <w:jc w:val="both"/>
        <w:rPr>
          <w:color w:val="000000"/>
        </w:rPr>
      </w:pPr>
      <w:r>
        <w:t>p</w:t>
      </w:r>
      <w:r>
        <w:rPr>
          <w:color w:val="000000"/>
        </w:rPr>
        <w:t>articipation in study visits to the project</w:t>
      </w:r>
      <w:r>
        <w:t xml:space="preserve">’s </w:t>
      </w:r>
      <w:r>
        <w:rPr>
          <w:color w:val="000000"/>
        </w:rPr>
        <w:t>partner universities.</w:t>
      </w:r>
    </w:p>
    <w:p w14:paraId="00000017"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lastRenderedPageBreak/>
        <w:t>Each research team will have an assigned supervisor - an experienced researcher s</w:t>
      </w:r>
      <w:r>
        <w:rPr>
          <w:color w:val="000000"/>
        </w:rPr>
        <w:t>pecializing in the subject, whose tasks shall include conducting, supervising, and assisting in implementing research tasks, among other things.</w:t>
      </w:r>
    </w:p>
    <w:p w14:paraId="00000018"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Participants of the workshops and mentoring sessions will participate actively in meetings with foreign experts</w:t>
      </w:r>
      <w:r>
        <w:rPr>
          <w:color w:val="000000"/>
        </w:rPr>
        <w:t xml:space="preserve"> (on-line). The meetings are aimed at increasing the research competencies of the project participants.</w:t>
      </w:r>
    </w:p>
    <w:p w14:paraId="00000019"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The costs of participation in workshops and mentoring sessions and participation in study visits to partner universities are financed from the project f</w:t>
      </w:r>
      <w:r>
        <w:rPr>
          <w:color w:val="000000"/>
        </w:rPr>
        <w:t>unds.</w:t>
      </w:r>
    </w:p>
    <w:p w14:paraId="0000001A"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Project participants may join other activities provided for in the project (in particular, work related to creating the Center of Scientific Excellence and organizing workshops, mentoring sessions, and conferences summarizing the project).</w:t>
      </w:r>
    </w:p>
    <w:p w14:paraId="0000001B"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All activi</w:t>
      </w:r>
      <w:r>
        <w:rPr>
          <w:color w:val="000000"/>
        </w:rPr>
        <w:t>ties provided for in the project will be conducted in English.</w:t>
      </w:r>
    </w:p>
    <w:p w14:paraId="0000001C"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 xml:space="preserve">During the implementation of the project works, the University will communicate with project participants </w:t>
      </w:r>
      <w:r>
        <w:t>via</w:t>
      </w:r>
      <w:r>
        <w:rPr>
          <w:color w:val="000000"/>
        </w:rPr>
        <w:t xml:space="preserve"> </w:t>
      </w:r>
      <w:r>
        <w:t>email</w:t>
      </w:r>
      <w:r>
        <w:rPr>
          <w:color w:val="000000"/>
        </w:rPr>
        <w:t xml:space="preserve"> only.</w:t>
      </w:r>
    </w:p>
    <w:p w14:paraId="0000001D"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At the end of participation in the project, participants will receive a certificate confirming their active involvement in the project.</w:t>
      </w:r>
    </w:p>
    <w:p w14:paraId="0000001E" w14:textId="77777777" w:rsidR="00183C77" w:rsidRDefault="003D75AD">
      <w:pPr>
        <w:numPr>
          <w:ilvl w:val="0"/>
          <w:numId w:val="2"/>
        </w:numPr>
        <w:pBdr>
          <w:top w:val="nil"/>
          <w:left w:val="nil"/>
          <w:bottom w:val="nil"/>
          <w:right w:val="nil"/>
          <w:between w:val="nil"/>
        </w:pBdr>
        <w:spacing w:before="200"/>
        <w:jc w:val="both"/>
        <w:rPr>
          <w:color w:val="000000"/>
        </w:rPr>
      </w:pPr>
      <w:r>
        <w:rPr>
          <w:color w:val="000000"/>
        </w:rPr>
        <w:t xml:space="preserve">The project will be implemented </w:t>
      </w:r>
      <w:r>
        <w:t xml:space="preserve">beginning from </w:t>
      </w:r>
      <w:r>
        <w:rPr>
          <w:color w:val="000000"/>
        </w:rPr>
        <w:t xml:space="preserve">July 1, 2022, </w:t>
      </w:r>
      <w:r>
        <w:t>and</w:t>
      </w:r>
      <w:r>
        <w:rPr>
          <w:color w:val="000000"/>
        </w:rPr>
        <w:t xml:space="preserve"> ending in June 30, 2024.</w:t>
      </w:r>
    </w:p>
    <w:p w14:paraId="0000001F" w14:textId="77777777" w:rsidR="00183C77" w:rsidRDefault="003D75AD">
      <w:pPr>
        <w:spacing w:before="200"/>
        <w:jc w:val="both"/>
      </w:pPr>
      <w:r>
        <w:t xml:space="preserve"> </w:t>
      </w:r>
    </w:p>
    <w:p w14:paraId="00000020" w14:textId="77777777" w:rsidR="00183C77" w:rsidRDefault="003D75AD">
      <w:pPr>
        <w:spacing w:before="200"/>
        <w:jc w:val="center"/>
        <w:rPr>
          <w:b/>
        </w:rPr>
      </w:pPr>
      <w:r>
        <w:rPr>
          <w:b/>
        </w:rPr>
        <w:t>Rules of Recruitment</w:t>
      </w:r>
    </w:p>
    <w:p w14:paraId="00000021" w14:textId="77777777" w:rsidR="00183C77" w:rsidRDefault="003D75AD">
      <w:pPr>
        <w:spacing w:before="200"/>
        <w:jc w:val="center"/>
        <w:rPr>
          <w:b/>
        </w:rPr>
      </w:pPr>
      <w:r>
        <w:rPr>
          <w:b/>
        </w:rPr>
        <w:t>§2</w:t>
      </w:r>
    </w:p>
    <w:p w14:paraId="00000022"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The recruitment process is open and based on the principle of equal opportunities and non-discrimination. All students, doctoral students, and other employees of the University of Economics in Katowice (Poland)</w:t>
      </w:r>
      <w:r>
        <w:t xml:space="preserve">, </w:t>
      </w:r>
      <w:r>
        <w:rPr>
          <w:color w:val="212529"/>
        </w:rPr>
        <w:t xml:space="preserve">VSB – Technical University of Ostrava </w:t>
      </w:r>
      <w:r>
        <w:rPr>
          <w:color w:val="000000"/>
        </w:rPr>
        <w:t xml:space="preserve"> (Czec</w:t>
      </w:r>
      <w:r>
        <w:rPr>
          <w:color w:val="000000"/>
        </w:rPr>
        <w:t xml:space="preserve">h Republic) </w:t>
      </w:r>
      <w:r>
        <w:t xml:space="preserve">and </w:t>
      </w:r>
      <w:r>
        <w:rPr>
          <w:color w:val="212529"/>
        </w:rPr>
        <w:t xml:space="preserve">Technical University of </w:t>
      </w:r>
      <w:proofErr w:type="spellStart"/>
      <w:r>
        <w:rPr>
          <w:color w:val="212529"/>
        </w:rPr>
        <w:t>Košice</w:t>
      </w:r>
      <w:proofErr w:type="spellEnd"/>
      <w:r>
        <w:rPr>
          <w:color w:val="000000"/>
        </w:rPr>
        <w:t xml:space="preserve"> (Slovakia) can join the recruitment regardless of gender, age, disability, race or ethnic origin, religion, belief, or </w:t>
      </w:r>
      <w:r>
        <w:t xml:space="preserve">sexual </w:t>
      </w:r>
      <w:r>
        <w:rPr>
          <w:color w:val="000000"/>
        </w:rPr>
        <w:t>orientatio</w:t>
      </w:r>
      <w:r>
        <w:t>n</w:t>
      </w:r>
      <w:r>
        <w:rPr>
          <w:color w:val="000000"/>
        </w:rPr>
        <w:t>.</w:t>
      </w:r>
    </w:p>
    <w:p w14:paraId="00000023"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 xml:space="preserve">Recruitment will be carried out </w:t>
      </w:r>
      <w:r>
        <w:t>between</w:t>
      </w:r>
      <w:r>
        <w:rPr>
          <w:color w:val="000000"/>
        </w:rPr>
        <w:t xml:space="preserve"> </w:t>
      </w:r>
      <w:r>
        <w:rPr>
          <w:b/>
          <w:color w:val="000000"/>
        </w:rPr>
        <w:t>October 14-24, 2022</w:t>
      </w:r>
      <w:r>
        <w:rPr>
          <w:color w:val="000000"/>
        </w:rPr>
        <w:t>.</w:t>
      </w:r>
    </w:p>
    <w:p w14:paraId="00000024"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 xml:space="preserve">The </w:t>
      </w:r>
      <w:r>
        <w:t>U</w:t>
      </w:r>
      <w:r>
        <w:rPr>
          <w:color w:val="000000"/>
        </w:rPr>
        <w:t>nive</w:t>
      </w:r>
      <w:r>
        <w:rPr>
          <w:color w:val="000000"/>
        </w:rPr>
        <w:t>rsity reserves the right to organize supplementary recruitment for workshop participants and mentoring sessions.</w:t>
      </w:r>
    </w:p>
    <w:p w14:paraId="00000025"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Recruitment is based on the application form (online application) available on the website informing about the recruitment of candidates for th</w:t>
      </w:r>
      <w:r>
        <w:rPr>
          <w:color w:val="000000"/>
        </w:rPr>
        <w:t>e project.</w:t>
      </w:r>
    </w:p>
    <w:p w14:paraId="00000026"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 xml:space="preserve">Participation in the activities carried out under the </w:t>
      </w:r>
      <w:proofErr w:type="spellStart"/>
      <w:r>
        <w:rPr>
          <w:color w:val="000000"/>
        </w:rPr>
        <w:t>ExCORE</w:t>
      </w:r>
      <w:proofErr w:type="spellEnd"/>
      <w:r>
        <w:rPr>
          <w:color w:val="000000"/>
        </w:rPr>
        <w:t xml:space="preserve"> project meets the conditions set out in</w:t>
      </w:r>
      <w:r>
        <w:t xml:space="preserve"> (</w:t>
      </w:r>
      <w:r>
        <w:rPr>
          <w:color w:val="000000"/>
        </w:rPr>
        <w:t>1), sending the complete application form within the time limit specified in (2), as well as submitting the participant's declaration regarding</w:t>
      </w:r>
      <w:r>
        <w:rPr>
          <w:color w:val="000000"/>
        </w:rPr>
        <w:t xml:space="preserve"> the processing of personal data by the University and NAWA, and signing the participant's additional consent to the processing of personal data.</w:t>
      </w:r>
    </w:p>
    <w:p w14:paraId="00000027"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lastRenderedPageBreak/>
        <w:t xml:space="preserve">The recruitment process is managed by the </w:t>
      </w:r>
      <w:r>
        <w:t>P</w:t>
      </w:r>
      <w:r>
        <w:rPr>
          <w:color w:val="000000"/>
        </w:rPr>
        <w:t xml:space="preserve">roject </w:t>
      </w:r>
      <w:r>
        <w:t>Manager</w:t>
      </w:r>
      <w:r>
        <w:rPr>
          <w:color w:val="000000"/>
        </w:rPr>
        <w:t xml:space="preserve"> - Maria </w:t>
      </w:r>
      <w:proofErr w:type="spellStart"/>
      <w:r>
        <w:rPr>
          <w:color w:val="000000"/>
        </w:rPr>
        <w:t>Kocot</w:t>
      </w:r>
      <w:proofErr w:type="spellEnd"/>
      <w:r>
        <w:rPr>
          <w:color w:val="000000"/>
        </w:rPr>
        <w:t>, Ph.D.</w:t>
      </w:r>
    </w:p>
    <w:p w14:paraId="00000028"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Candidates to participate in th</w:t>
      </w:r>
      <w:r>
        <w:rPr>
          <w:color w:val="000000"/>
        </w:rPr>
        <w:t xml:space="preserve">e project as research team members submit a cover letter in the recruitment form. </w:t>
      </w:r>
      <w:r>
        <w:t xml:space="preserve">In case </w:t>
      </w:r>
      <w:r>
        <w:rPr>
          <w:color w:val="000000"/>
        </w:rPr>
        <w:t xml:space="preserve">the number of applications exceeds the available places in research teams; in </w:t>
      </w:r>
      <w:r>
        <w:t>such a situation</w:t>
      </w:r>
      <w:r>
        <w:rPr>
          <w:color w:val="000000"/>
        </w:rPr>
        <w:t>, the candidate's qualifications will be determined by the justification</w:t>
      </w:r>
      <w:r>
        <w:rPr>
          <w:color w:val="000000"/>
        </w:rPr>
        <w:t xml:space="preserve"> for the willingness to participate in the project presented in the cover letter, which the supervisors of the research teams will assess.</w:t>
      </w:r>
    </w:p>
    <w:p w14:paraId="00000029"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 xml:space="preserve">The recruitment results will be announced within 7 days from the end of the recruitment process. Each candidate will receive information about qualifying or not qualifying for the project </w:t>
      </w:r>
      <w:r>
        <w:t xml:space="preserve">via </w:t>
      </w:r>
      <w:r>
        <w:rPr>
          <w:color w:val="000000"/>
        </w:rPr>
        <w:t>email address provided during the recruitment process.</w:t>
      </w:r>
    </w:p>
    <w:p w14:paraId="0000002A" w14:textId="77777777" w:rsidR="00183C77" w:rsidRDefault="003D75AD">
      <w:pPr>
        <w:numPr>
          <w:ilvl w:val="0"/>
          <w:numId w:val="1"/>
        </w:numPr>
        <w:pBdr>
          <w:top w:val="nil"/>
          <w:left w:val="nil"/>
          <w:bottom w:val="nil"/>
          <w:right w:val="nil"/>
          <w:between w:val="nil"/>
        </w:pBdr>
        <w:spacing w:before="200"/>
        <w:jc w:val="both"/>
        <w:rPr>
          <w:color w:val="000000"/>
        </w:rPr>
      </w:pPr>
      <w:r>
        <w:t>The parti</w:t>
      </w:r>
      <w:r>
        <w:t>cipant acknowledges that, in accordance with the Regulation (EU) 2016/679 of the European Parliament and of the Council of 27 April 2016 on the protection of natural persons with regard to the processing of personal data and on the free movement of such da</w:t>
      </w:r>
      <w:r>
        <w:t>ta, and repealing Directive 95/46/EC (General Data Protection Regulation), the administrator of their personal data is NAWA, which entrusts the University with the processing of personal data for the proper implementation of the project, including the recr</w:t>
      </w:r>
      <w:r>
        <w:t>uitment process in question.</w:t>
      </w:r>
    </w:p>
    <w:p w14:paraId="0000002B" w14:textId="77777777" w:rsidR="00183C77" w:rsidRDefault="003D75AD">
      <w:pPr>
        <w:numPr>
          <w:ilvl w:val="0"/>
          <w:numId w:val="1"/>
        </w:numPr>
        <w:pBdr>
          <w:top w:val="nil"/>
          <w:left w:val="nil"/>
          <w:bottom w:val="nil"/>
          <w:right w:val="nil"/>
          <w:between w:val="nil"/>
        </w:pBdr>
        <w:spacing w:before="200"/>
        <w:jc w:val="both"/>
        <w:rPr>
          <w:color w:val="000000"/>
          <w:sz w:val="22"/>
          <w:szCs w:val="22"/>
        </w:rPr>
      </w:pPr>
      <w:r>
        <w:rPr>
          <w:color w:val="000000"/>
        </w:rPr>
        <w:t xml:space="preserve">In matters not covered by these Rules and </w:t>
      </w:r>
      <w:r>
        <w:t>R</w:t>
      </w:r>
      <w:r>
        <w:rPr>
          <w:color w:val="000000"/>
        </w:rPr>
        <w:t xml:space="preserve">egulations, the decision is made by the </w:t>
      </w:r>
      <w:r>
        <w:t>P</w:t>
      </w:r>
      <w:r>
        <w:rPr>
          <w:color w:val="000000"/>
        </w:rPr>
        <w:t xml:space="preserve">roject </w:t>
      </w:r>
      <w:r>
        <w:t>Leader</w:t>
      </w:r>
      <w:r>
        <w:rPr>
          <w:color w:val="000000"/>
        </w:rPr>
        <w:t xml:space="preserve"> - </w:t>
      </w:r>
      <w:r>
        <w:t xml:space="preserve">Associate Professor </w:t>
      </w:r>
      <w:r>
        <w:rPr>
          <w:color w:val="000000"/>
        </w:rPr>
        <w:t xml:space="preserve">Monika </w:t>
      </w:r>
      <w:proofErr w:type="spellStart"/>
      <w:r>
        <w:rPr>
          <w:color w:val="000000"/>
        </w:rPr>
        <w:t>Wieczorek-Kosmala</w:t>
      </w:r>
      <w:proofErr w:type="spellEnd"/>
      <w:r>
        <w:rPr>
          <w:color w:val="000000"/>
        </w:rPr>
        <w:t xml:space="preserve">, </w:t>
      </w:r>
      <w:r>
        <w:t>Ph.D</w:t>
      </w:r>
      <w:r>
        <w:rPr>
          <w:color w:val="000000"/>
        </w:rPr>
        <w:t>.</w:t>
      </w:r>
    </w:p>
    <w:sectPr w:rsidR="00183C7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56402"/>
    <w:multiLevelType w:val="multilevel"/>
    <w:tmpl w:val="D456718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D27BA3"/>
    <w:multiLevelType w:val="multilevel"/>
    <w:tmpl w:val="D222087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F6E22EA"/>
    <w:multiLevelType w:val="multilevel"/>
    <w:tmpl w:val="29842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1961DA"/>
    <w:multiLevelType w:val="multilevel"/>
    <w:tmpl w:val="74F8B36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77"/>
    <w:rsid w:val="00183C77"/>
    <w:rsid w:val="003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65544-B643-4109-88B9-FD61224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EC613E"/>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ctgR+pvfsOKoIu4w3jEERFXKw==">AMUW2mVxZbWMMMgc8LZoHleuJTarFYOdnPhKzJIaz3NxgoncEZkTeybawDcRK/+62pfi/DoHZVXHu8tR0XsCATOXfTFxMmo8/HRKlAVQ3fu07ttqaHQa3hg=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Ingram</dc:creator>
  <cp:lastModifiedBy>Magdalena Skowron</cp:lastModifiedBy>
  <cp:revision>2</cp:revision>
  <dcterms:created xsi:type="dcterms:W3CDTF">2022-10-13T08:26:00Z</dcterms:created>
  <dcterms:modified xsi:type="dcterms:W3CDTF">2022-10-13T08:26:00Z</dcterms:modified>
</cp:coreProperties>
</file>