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B" w:rsidRPr="00BA6E17" w:rsidRDefault="00BA6E17" w:rsidP="00655B2B">
      <w:pPr>
        <w:rPr>
          <w:b/>
          <w:kern w:val="22"/>
          <w:sz w:val="20"/>
        </w:rPr>
      </w:pPr>
      <w:r>
        <w:rPr>
          <w:noProof/>
          <w:color w:val="CCFFFF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9660255</wp:posOffset>
            </wp:positionH>
            <wp:positionV relativeFrom="paragraph">
              <wp:posOffset>146685</wp:posOffset>
            </wp:positionV>
            <wp:extent cx="607695" cy="614680"/>
            <wp:effectExtent l="19050" t="0" r="1905" b="0"/>
            <wp:wrapNone/>
            <wp:docPr id="2" name="Obraz 110" descr="Logo UE Gr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Logo UE Gran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83" t="2153" r="56276"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B2B" w:rsidRPr="00BA6E17">
        <w:rPr>
          <w:b/>
          <w:kern w:val="22"/>
          <w:sz w:val="20"/>
        </w:rPr>
        <w:t xml:space="preserve">Imię i nazwisko autora artykułu </w:t>
      </w:r>
      <w:r w:rsidR="00655B2B" w:rsidRPr="00BA6E17">
        <w:rPr>
          <w:kern w:val="22"/>
          <w:sz w:val="20"/>
        </w:rPr>
        <w:t>(1</w:t>
      </w:r>
      <w:r w:rsidRPr="00BA6E17">
        <w:rPr>
          <w:kern w:val="22"/>
          <w:sz w:val="20"/>
        </w:rPr>
        <w:t>0</w:t>
      </w:r>
      <w:r w:rsidR="00655B2B" w:rsidRPr="00BA6E17">
        <w:rPr>
          <w:kern w:val="22"/>
          <w:sz w:val="20"/>
        </w:rPr>
        <w:t xml:space="preserve"> pkt)</w:t>
      </w:r>
    </w:p>
    <w:p w:rsidR="00655B2B" w:rsidRPr="00655B2B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20"/>
        </w:rPr>
      </w:pPr>
    </w:p>
    <w:p w:rsidR="00655B2B" w:rsidRPr="00BA6E17" w:rsidRDefault="00655B2B" w:rsidP="00655B2B">
      <w:pPr>
        <w:pStyle w:val="Nagwek3"/>
        <w:spacing w:before="0"/>
        <w:rPr>
          <w:rFonts w:ascii="Times New Roman" w:hAnsi="Times New Roman"/>
          <w:b w:val="0"/>
          <w:color w:val="auto"/>
          <w:sz w:val="16"/>
        </w:rPr>
      </w:pPr>
      <w:r w:rsidRPr="00BA6E17">
        <w:rPr>
          <w:rFonts w:ascii="Times New Roman" w:hAnsi="Times New Roman"/>
          <w:b w:val="0"/>
          <w:color w:val="auto"/>
          <w:sz w:val="16"/>
        </w:rPr>
        <w:t>Uniwersytet Ekonomiczny w Katowicach (</w:t>
      </w:r>
      <w:r w:rsidR="00BA6E17">
        <w:rPr>
          <w:rFonts w:ascii="Times New Roman" w:hAnsi="Times New Roman"/>
          <w:b w:val="0"/>
          <w:color w:val="auto"/>
          <w:sz w:val="16"/>
        </w:rPr>
        <w:t>8</w:t>
      </w:r>
      <w:r w:rsidRPr="00BA6E17">
        <w:rPr>
          <w:rFonts w:ascii="Times New Roman" w:hAnsi="Times New Roman"/>
          <w:b w:val="0"/>
          <w:color w:val="auto"/>
          <w:sz w:val="16"/>
        </w:rPr>
        <w:t xml:space="preserve"> pkt – afiliacja)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Wydział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Katedra</w:t>
      </w:r>
    </w:p>
    <w:p w:rsidR="00655B2B" w:rsidRPr="00BA6E17" w:rsidRDefault="00655B2B" w:rsidP="00655B2B">
      <w:pPr>
        <w:rPr>
          <w:kern w:val="22"/>
          <w:sz w:val="16"/>
          <w:szCs w:val="20"/>
        </w:rPr>
      </w:pPr>
      <w:r w:rsidRPr="00BA6E17">
        <w:rPr>
          <w:kern w:val="22"/>
          <w:sz w:val="16"/>
          <w:szCs w:val="20"/>
        </w:rPr>
        <w:t>email@ue.katowice.pl</w:t>
      </w: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0A2129" w:rsidRDefault="00655B2B" w:rsidP="00655B2B">
      <w:pPr>
        <w:spacing w:line="280" w:lineRule="atLeast"/>
        <w:rPr>
          <w:kern w:val="22"/>
          <w:sz w:val="22"/>
        </w:rPr>
      </w:pPr>
    </w:p>
    <w:p w:rsidR="00655B2B" w:rsidRPr="00655B2B" w:rsidRDefault="00655B2B" w:rsidP="00655B2B">
      <w:pPr>
        <w:pStyle w:val="Nagwek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55B2B">
        <w:rPr>
          <w:rFonts w:ascii="Times New Roman" w:hAnsi="Times New Roman"/>
          <w:color w:val="auto"/>
          <w:sz w:val="28"/>
          <w:szCs w:val="28"/>
        </w:rPr>
        <w:t xml:space="preserve">TYTUŁ ARTYKUŁU </w:t>
      </w:r>
      <w:r w:rsidRPr="00655B2B">
        <w:rPr>
          <w:rFonts w:ascii="Times New Roman" w:hAnsi="Times New Roman"/>
          <w:b w:val="0"/>
          <w:color w:val="auto"/>
          <w:sz w:val="28"/>
          <w:szCs w:val="28"/>
        </w:rPr>
        <w:t>(14 pkt)</w:t>
      </w:r>
    </w:p>
    <w:p w:rsidR="00655B2B" w:rsidRPr="000A2129" w:rsidRDefault="00655B2B" w:rsidP="00655B2B">
      <w:pPr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Streszczenie:</w:t>
      </w:r>
      <w:r w:rsidRPr="000A2129">
        <w:rPr>
          <w:kern w:val="22"/>
          <w:sz w:val="20"/>
          <w:szCs w:val="20"/>
        </w:rPr>
        <w:t xml:space="preserve"> w języku polskim około 100 słów (10 pkt).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Słowa kluczowe:</w:t>
      </w:r>
      <w:r w:rsidRPr="000A2129">
        <w:rPr>
          <w:kern w:val="22"/>
          <w:sz w:val="20"/>
          <w:szCs w:val="20"/>
        </w:rPr>
        <w:t xml:space="preserve"> 3 do 5 słów (10 pkt).</w:t>
      </w:r>
    </w:p>
    <w:p w:rsidR="00983CED" w:rsidRDefault="00983CED" w:rsidP="00655B2B">
      <w:pPr>
        <w:rPr>
          <w:kern w:val="22"/>
          <w:sz w:val="20"/>
          <w:szCs w:val="20"/>
        </w:rPr>
      </w:pPr>
    </w:p>
    <w:p w:rsidR="00983CED" w:rsidRPr="0038604A" w:rsidRDefault="00983CED" w:rsidP="00655B2B">
      <w:pPr>
        <w:rPr>
          <w:kern w:val="22"/>
          <w:sz w:val="20"/>
          <w:szCs w:val="19"/>
          <w:lang w:val="fr-FR"/>
        </w:rPr>
      </w:pPr>
      <w:r w:rsidRPr="0038604A">
        <w:rPr>
          <w:b/>
          <w:kern w:val="22"/>
          <w:sz w:val="20"/>
          <w:szCs w:val="19"/>
          <w:lang w:val="fr-FR"/>
        </w:rPr>
        <w:t xml:space="preserve">JEL Classification: </w:t>
      </w:r>
      <w:r w:rsidRPr="0038604A">
        <w:rPr>
          <w:kern w:val="22"/>
          <w:sz w:val="20"/>
          <w:szCs w:val="19"/>
          <w:lang w:val="fr-FR"/>
        </w:rPr>
        <w:t>numer JEL (10 pkt).</w:t>
      </w:r>
    </w:p>
    <w:p w:rsidR="00655B2B" w:rsidRPr="0038604A" w:rsidRDefault="00655B2B" w:rsidP="00655B2B">
      <w:pPr>
        <w:rPr>
          <w:kern w:val="22"/>
          <w:sz w:val="22"/>
          <w:szCs w:val="22"/>
          <w:lang w:val="fr-FR"/>
        </w:rPr>
      </w:pPr>
    </w:p>
    <w:p w:rsidR="00655B2B" w:rsidRPr="0038604A" w:rsidRDefault="00655B2B" w:rsidP="00655B2B">
      <w:pPr>
        <w:rPr>
          <w:kern w:val="22"/>
          <w:sz w:val="22"/>
          <w:szCs w:val="22"/>
          <w:lang w:val="fr-FR"/>
        </w:rPr>
      </w:pPr>
    </w:p>
    <w:p w:rsidR="00655B2B" w:rsidRPr="00BA6E17" w:rsidRDefault="00655B2B" w:rsidP="00655B2B">
      <w:pPr>
        <w:spacing w:line="280" w:lineRule="atLeast"/>
        <w:rPr>
          <w:b/>
          <w:kern w:val="22"/>
          <w:szCs w:val="28"/>
        </w:rPr>
      </w:pPr>
      <w:r w:rsidRPr="00BA6E17">
        <w:rPr>
          <w:b/>
          <w:kern w:val="22"/>
          <w:szCs w:val="28"/>
        </w:rPr>
        <w:t xml:space="preserve">Wprowadzenie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</w:t>
      </w:r>
      <w:r w:rsidR="00BA6E17">
        <w:rPr>
          <w:kern w:val="22"/>
          <w:sz w:val="22"/>
        </w:rPr>
        <w:t>1,5 pkt</w:t>
      </w:r>
      <w:r w:rsidRPr="00BA6E17">
        <w:rPr>
          <w:kern w:val="22"/>
          <w:sz w:val="22"/>
        </w:rPr>
        <w:t xml:space="preserve">). 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rPr>
          <w:kern w:val="22"/>
          <w:szCs w:val="28"/>
        </w:rPr>
      </w:pPr>
      <w:r w:rsidRPr="00BA6E17">
        <w:rPr>
          <w:b/>
          <w:kern w:val="22"/>
          <w:szCs w:val="28"/>
        </w:rPr>
        <w:t xml:space="preserve">1. Nagłówek </w:t>
      </w:r>
      <w:r w:rsidRPr="00BA6E17">
        <w:rPr>
          <w:kern w:val="22"/>
          <w:szCs w:val="28"/>
        </w:rPr>
        <w:t>(1</w:t>
      </w:r>
      <w:r w:rsidR="00BA6E17" w:rsidRPr="00BA6E17">
        <w:rPr>
          <w:kern w:val="22"/>
          <w:szCs w:val="28"/>
        </w:rPr>
        <w:t>2</w:t>
      </w:r>
      <w:r w:rsidRPr="00BA6E17">
        <w:rPr>
          <w:kern w:val="22"/>
          <w:szCs w:val="28"/>
        </w:rPr>
        <w:t xml:space="preserve"> pkt)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</w:t>
      </w:r>
      <w:r w:rsidRPr="00BA6E17">
        <w:rPr>
          <w:color w:val="000000"/>
          <w:kern w:val="22"/>
          <w:sz w:val="22"/>
        </w:rPr>
        <w:t xml:space="preserve">Kowalski, 2000, </w:t>
      </w:r>
      <w:r w:rsidR="00BA6E17">
        <w:rPr>
          <w:color w:val="000000"/>
          <w:kern w:val="22"/>
          <w:sz w:val="22"/>
        </w:rPr>
        <w:br/>
      </w:r>
      <w:r w:rsidRPr="00BA6E17">
        <w:rPr>
          <w:color w:val="000000"/>
          <w:kern w:val="22"/>
          <w:sz w:val="22"/>
        </w:rPr>
        <w:t>s. 45</w:t>
      </w:r>
      <w:r w:rsidRPr="00BA6E17">
        <w:rPr>
          <w:kern w:val="22"/>
          <w:sz w:val="22"/>
        </w:rPr>
        <w:t>]. Miejsce na tekst podstawowy zaczynający się od akapitu (1</w:t>
      </w:r>
      <w:r w:rsid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spacing w:line="290" w:lineRule="atLeast"/>
        <w:rPr>
          <w:kern w:val="22"/>
          <w:sz w:val="22"/>
          <w:szCs w:val="22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1.1. Nagłówek kolejny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>Tabela 1. Tytuł tabeli do lewej (10 pkt)</w:t>
      </w:r>
    </w:p>
    <w:p w:rsidR="00655B2B" w:rsidRPr="000A2129" w:rsidRDefault="00655B2B" w:rsidP="00655B2B">
      <w:pPr>
        <w:rPr>
          <w:spacing w:val="-4"/>
          <w:kern w:val="22"/>
          <w:sz w:val="10"/>
          <w:szCs w:val="10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771"/>
        <w:gridCol w:w="1771"/>
        <w:gridCol w:w="1771"/>
      </w:tblGrid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1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2*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45</w:t>
            </w:r>
          </w:p>
        </w:tc>
      </w:tr>
      <w:tr w:rsidR="00655B2B" w:rsidRPr="000A2129" w:rsidTr="000E08A1">
        <w:trPr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24</w:t>
            </w:r>
          </w:p>
        </w:tc>
      </w:tr>
      <w:tr w:rsidR="00655B2B" w:rsidRPr="000A2129" w:rsidTr="000E08A1">
        <w:trPr>
          <w:trHeight w:val="50"/>
          <w:jc w:val="center"/>
        </w:trPr>
        <w:tc>
          <w:tcPr>
            <w:tcW w:w="1775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  <w:tc>
          <w:tcPr>
            <w:tcW w:w="1771" w:type="dxa"/>
          </w:tcPr>
          <w:p w:rsidR="00655B2B" w:rsidRPr="000A2129" w:rsidRDefault="00655B2B" w:rsidP="000E08A1">
            <w:pPr>
              <w:jc w:val="center"/>
              <w:rPr>
                <w:spacing w:val="-4"/>
                <w:kern w:val="22"/>
                <w:sz w:val="16"/>
                <w:szCs w:val="16"/>
              </w:rPr>
            </w:pPr>
            <w:r w:rsidRPr="000A2129">
              <w:rPr>
                <w:spacing w:val="-4"/>
                <w:kern w:val="22"/>
                <w:sz w:val="16"/>
                <w:szCs w:val="16"/>
              </w:rPr>
              <w:t>28</w:t>
            </w:r>
          </w:p>
        </w:tc>
      </w:tr>
    </w:tbl>
    <w:p w:rsidR="00655B2B" w:rsidRPr="000A2129" w:rsidRDefault="00655B2B" w:rsidP="00655B2B">
      <w:pPr>
        <w:rPr>
          <w:spacing w:val="-4"/>
          <w:kern w:val="22"/>
          <w:sz w:val="12"/>
          <w:szCs w:val="12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* Legenda lub objaśnienie symboli użytych w tabeli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4"/>
          <w:szCs w:val="16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</w:t>
      </w:r>
      <w:r w:rsidR="0038604A">
        <w:rPr>
          <w:spacing w:val="-4"/>
          <w:kern w:val="22"/>
          <w:sz w:val="16"/>
          <w:szCs w:val="18"/>
        </w:rPr>
        <w:t>15</w:t>
      </w:r>
      <w:r w:rsidRPr="00BA6E17">
        <w:rPr>
          <w:spacing w:val="-4"/>
          <w:kern w:val="22"/>
          <w:sz w:val="16"/>
          <w:szCs w:val="18"/>
        </w:rPr>
        <w:t>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BA6E17" w:rsidRDefault="00655B2B" w:rsidP="00655B2B">
      <w:pPr>
        <w:spacing w:line="360" w:lineRule="auto"/>
        <w:ind w:firstLine="425"/>
        <w:rPr>
          <w:kern w:val="22"/>
          <w:sz w:val="22"/>
        </w:rPr>
      </w:pPr>
      <w:r w:rsidRPr="00BA6E17">
        <w:rPr>
          <w:kern w:val="22"/>
          <w:sz w:val="22"/>
        </w:rPr>
        <w:lastRenderedPageBreak/>
        <w:t>Miejsce na tekst podstawowy zaczynający się od akapitu. Miejsce na tekst podstawowy zaczynający się od akapitu</w:t>
      </w:r>
      <w:r w:rsidRPr="00BA6E17">
        <w:rPr>
          <w:rStyle w:val="Odwoanieprzypisudolnego"/>
          <w:kern w:val="22"/>
          <w:sz w:val="22"/>
        </w:rPr>
        <w:footnoteReference w:id="1"/>
      </w:r>
      <w:r w:rsidRPr="00BA6E17">
        <w:rPr>
          <w:kern w:val="22"/>
          <w:sz w:val="22"/>
        </w:rPr>
        <w:t>.</w:t>
      </w:r>
    </w:p>
    <w:p w:rsidR="00655B2B" w:rsidRPr="000A2129" w:rsidRDefault="00655B2B" w:rsidP="00655B2B">
      <w:pPr>
        <w:rPr>
          <w:kern w:val="22"/>
          <w:sz w:val="8"/>
          <w:szCs w:val="8"/>
        </w:rPr>
      </w:pPr>
    </w:p>
    <w:p w:rsidR="00655B2B" w:rsidRPr="000A2129" w:rsidRDefault="00BA6E17" w:rsidP="00655B2B">
      <w:pPr>
        <w:spacing w:line="290" w:lineRule="atLeast"/>
        <w:jc w:val="center"/>
        <w:rPr>
          <w:kern w:val="22"/>
          <w:sz w:val="22"/>
          <w:szCs w:val="22"/>
        </w:rPr>
      </w:pPr>
      <w:r>
        <w:rPr>
          <w:noProof/>
        </w:rPr>
        <w:drawing>
          <wp:inline distT="0" distB="0" distL="0" distR="0">
            <wp:extent cx="4527550" cy="1320800"/>
            <wp:effectExtent l="0" t="0" r="0" b="0"/>
            <wp:docPr id="1" name="Obi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0"/>
          <w:szCs w:val="20"/>
        </w:rPr>
      </w:pPr>
      <w:r w:rsidRPr="000A2129">
        <w:rPr>
          <w:spacing w:val="-4"/>
          <w:kern w:val="22"/>
          <w:sz w:val="20"/>
          <w:szCs w:val="20"/>
        </w:rPr>
        <w:t xml:space="preserve">Rys. 1. </w:t>
      </w:r>
      <w:r w:rsidRPr="000A2129">
        <w:rPr>
          <w:kern w:val="22"/>
          <w:sz w:val="20"/>
          <w:szCs w:val="20"/>
        </w:rPr>
        <w:t>Tytuł</w:t>
      </w:r>
      <w:r w:rsidRPr="000A2129">
        <w:rPr>
          <w:spacing w:val="-4"/>
          <w:kern w:val="22"/>
          <w:sz w:val="20"/>
          <w:szCs w:val="20"/>
        </w:rPr>
        <w:t xml:space="preserve"> rysunku do lewej (10 pkt)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BA6E17" w:rsidRDefault="00655B2B" w:rsidP="00655B2B">
      <w:pPr>
        <w:rPr>
          <w:spacing w:val="-4"/>
          <w:kern w:val="22"/>
          <w:sz w:val="16"/>
          <w:szCs w:val="18"/>
        </w:rPr>
      </w:pPr>
      <w:r w:rsidRPr="00BA6E17">
        <w:rPr>
          <w:spacing w:val="-4"/>
          <w:kern w:val="22"/>
          <w:sz w:val="16"/>
          <w:szCs w:val="18"/>
        </w:rPr>
        <w:t>Źródło: Kowalski [2000, s. 175]; Nowak [20</w:t>
      </w:r>
      <w:r w:rsidR="0038604A">
        <w:rPr>
          <w:spacing w:val="-4"/>
          <w:kern w:val="22"/>
          <w:sz w:val="16"/>
          <w:szCs w:val="18"/>
        </w:rPr>
        <w:t>15</w:t>
      </w:r>
      <w:r w:rsidRPr="00BA6E17">
        <w:rPr>
          <w:spacing w:val="-4"/>
          <w:kern w:val="22"/>
          <w:sz w:val="16"/>
          <w:szCs w:val="18"/>
        </w:rPr>
        <w:t>, s. 200] (</w:t>
      </w:r>
      <w:r w:rsidR="00BA6E17">
        <w:rPr>
          <w:spacing w:val="-4"/>
          <w:kern w:val="22"/>
          <w:sz w:val="16"/>
          <w:szCs w:val="18"/>
        </w:rPr>
        <w:t>8</w:t>
      </w:r>
      <w:r w:rsidRPr="00BA6E17">
        <w:rPr>
          <w:spacing w:val="-4"/>
          <w:kern w:val="22"/>
          <w:sz w:val="16"/>
          <w:szCs w:val="18"/>
        </w:rPr>
        <w:t xml:space="preserve">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kern w:val="22"/>
          <w:sz w:val="18"/>
          <w:szCs w:val="18"/>
        </w:rPr>
      </w:pPr>
    </w:p>
    <w:p w:rsidR="00655B2B" w:rsidRPr="00BA6E17" w:rsidRDefault="00655B2B" w:rsidP="00655B2B">
      <w:pPr>
        <w:rPr>
          <w:b/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Podsumowanie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spacing w:line="360" w:lineRule="auto"/>
        <w:ind w:firstLine="425"/>
        <w:rPr>
          <w:spacing w:val="-4"/>
          <w:kern w:val="22"/>
          <w:sz w:val="22"/>
        </w:rPr>
      </w:pPr>
      <w:r w:rsidRPr="00BA6E17">
        <w:rPr>
          <w:kern w:val="22"/>
          <w:sz w:val="22"/>
        </w:rPr>
        <w:t>Miejsce na tekst podstawowy zaczynający się od akapitu [Kowalski, 2000; Nowak, 201</w:t>
      </w:r>
      <w:r w:rsidR="0038604A">
        <w:rPr>
          <w:kern w:val="22"/>
          <w:sz w:val="22"/>
        </w:rPr>
        <w:t>5</w:t>
      </w:r>
      <w:r w:rsidRPr="00BA6E17">
        <w:rPr>
          <w:kern w:val="22"/>
          <w:sz w:val="22"/>
        </w:rPr>
        <w:t>]. Miejsce na tekst podstawowy zaczynający się od akapitu. Miejsce na tekst podstawowy zaczynający się od akapitu (1</w:t>
      </w:r>
      <w:r w:rsidR="00BA6E17" w:rsidRPr="00BA6E17">
        <w:rPr>
          <w:kern w:val="22"/>
          <w:sz w:val="22"/>
        </w:rPr>
        <w:t>1</w:t>
      </w:r>
      <w:r w:rsidRPr="00BA6E17">
        <w:rPr>
          <w:kern w:val="22"/>
          <w:sz w:val="22"/>
        </w:rPr>
        <w:t xml:space="preserve"> pkt, interlinia 1,5 pkt).</w:t>
      </w:r>
    </w:p>
    <w:p w:rsidR="00655B2B" w:rsidRPr="000A2129" w:rsidRDefault="00655B2B" w:rsidP="00655B2B">
      <w:pPr>
        <w:rPr>
          <w:spacing w:val="-4"/>
          <w:kern w:val="22"/>
          <w:sz w:val="18"/>
          <w:szCs w:val="18"/>
        </w:rPr>
      </w:pP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655B2B" w:rsidRPr="00BA6E17" w:rsidRDefault="00655B2B" w:rsidP="00655B2B">
      <w:pPr>
        <w:rPr>
          <w:spacing w:val="-4"/>
          <w:kern w:val="22"/>
          <w:szCs w:val="28"/>
        </w:rPr>
      </w:pPr>
      <w:r w:rsidRPr="00BA6E17">
        <w:rPr>
          <w:b/>
          <w:spacing w:val="-4"/>
          <w:kern w:val="22"/>
          <w:szCs w:val="28"/>
        </w:rPr>
        <w:t xml:space="preserve">Literatura </w:t>
      </w:r>
      <w:r w:rsidRPr="00BA6E17">
        <w:rPr>
          <w:spacing w:val="-4"/>
          <w:kern w:val="22"/>
          <w:szCs w:val="28"/>
        </w:rPr>
        <w:t>(1</w:t>
      </w:r>
      <w:r w:rsidR="00BA6E17">
        <w:rPr>
          <w:spacing w:val="-4"/>
          <w:kern w:val="22"/>
          <w:szCs w:val="28"/>
        </w:rPr>
        <w:t>2</w:t>
      </w:r>
      <w:r w:rsidRPr="00BA6E17">
        <w:rPr>
          <w:spacing w:val="-4"/>
          <w:kern w:val="22"/>
          <w:szCs w:val="28"/>
        </w:rPr>
        <w:t xml:space="preserve"> pkt)</w:t>
      </w:r>
    </w:p>
    <w:p w:rsidR="00655B2B" w:rsidRPr="000A2129" w:rsidRDefault="00655B2B" w:rsidP="00655B2B">
      <w:pPr>
        <w:rPr>
          <w:spacing w:val="-4"/>
          <w:kern w:val="22"/>
          <w:sz w:val="22"/>
          <w:szCs w:val="22"/>
        </w:rPr>
      </w:pP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Dyrektywa Parlamentu Europejskiego i Rady 2014/56/UE z dnia 16 kwietnia w sprawie ustawowych badań rocznych sprawozdań finansowych i skonsolidowanych sprawozdań finansowych (zmieniająca Dyrektywę 2006/43/WE), </w:t>
      </w:r>
      <w:proofErr w:type="spellStart"/>
      <w:r w:rsidRPr="00CF38FD">
        <w:t>Dz.Urz</w:t>
      </w:r>
      <w:proofErr w:type="spellEnd"/>
      <w:r w:rsidRPr="00CF38FD">
        <w:t>. UE L.158/196.</w:t>
      </w:r>
    </w:p>
    <w:p w:rsidR="00761619" w:rsidRPr="00761619" w:rsidRDefault="00761619" w:rsidP="00761619">
      <w:pPr>
        <w:pStyle w:val="Tekstprzypisukocowego"/>
        <w:spacing w:after="100"/>
        <w:ind w:left="425" w:hanging="425"/>
        <w:jc w:val="both"/>
        <w:rPr>
          <w:lang w:val="en-US"/>
        </w:rPr>
      </w:pPr>
      <w:proofErr w:type="spellStart"/>
      <w:r w:rsidRPr="00761619">
        <w:rPr>
          <w:lang w:val="en-US"/>
        </w:rPr>
        <w:t>Grossi</w:t>
      </w:r>
      <w:proofErr w:type="spellEnd"/>
      <w:r w:rsidRPr="00761619">
        <w:rPr>
          <w:lang w:val="en-US"/>
        </w:rPr>
        <w:t xml:space="preserve"> P., </w:t>
      </w:r>
      <w:proofErr w:type="spellStart"/>
      <w:r w:rsidRPr="00761619">
        <w:rPr>
          <w:lang w:val="en-US"/>
        </w:rPr>
        <w:t>Kunreuther</w:t>
      </w:r>
      <w:proofErr w:type="spellEnd"/>
      <w:r w:rsidRPr="00761619">
        <w:rPr>
          <w:lang w:val="en-US"/>
        </w:rPr>
        <w:t xml:space="preserve"> H., Patel </w:t>
      </w:r>
      <w:proofErr w:type="spellStart"/>
      <w:r w:rsidRPr="00761619">
        <w:rPr>
          <w:lang w:val="en-US"/>
        </w:rPr>
        <w:t>Ch.C</w:t>
      </w:r>
      <w:proofErr w:type="spellEnd"/>
      <w:r w:rsidRPr="00761619">
        <w:rPr>
          <w:lang w:val="en-US"/>
        </w:rPr>
        <w:t xml:space="preserve">., eds. (2005), </w:t>
      </w:r>
      <w:r w:rsidRPr="00761619">
        <w:rPr>
          <w:i/>
          <w:lang w:val="en-US"/>
        </w:rPr>
        <w:t>Catastrophe Modelling: A New Approach to Managing Risk</w:t>
      </w:r>
      <w:r w:rsidRPr="00761619">
        <w:rPr>
          <w:lang w:val="en-US"/>
        </w:rPr>
        <w:t xml:space="preserve">, Springer, New York – Berlin – Heidelberg. 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Janda P. (2005): </w:t>
      </w:r>
      <w:r w:rsidRPr="00CF38FD">
        <w:rPr>
          <w:i/>
        </w:rPr>
        <w:t>Zaspokojenie roszczeń wierzycieli jako cel postępowania upadłościowego</w:t>
      </w:r>
      <w:r w:rsidRPr="00CF38FD">
        <w:t>. „Państwo</w:t>
      </w:r>
      <w:bookmarkStart w:id="0" w:name="_GoBack"/>
      <w:bookmarkEnd w:id="0"/>
      <w:r w:rsidRPr="00CF38FD">
        <w:t xml:space="preserve"> i Prawo”, nr 10, s. 17-23.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Jędrzejczyk I., Bożek-Węglarz S., red. (2007), </w:t>
      </w:r>
      <w:r w:rsidRPr="00CF38FD">
        <w:rPr>
          <w:i/>
        </w:rPr>
        <w:t>Ubezpieczenia ryzyka katastroficznego</w:t>
      </w:r>
      <w:r w:rsidRPr="00CF38FD">
        <w:t>, AE, Katowice.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Kowalski J. (2000a), </w:t>
      </w:r>
      <w:r w:rsidRPr="00CF38FD">
        <w:rPr>
          <w:i/>
          <w:iCs/>
        </w:rPr>
        <w:t>Ryzyko w inwestowaniu</w:t>
      </w:r>
      <w:r w:rsidRPr="00CF38FD">
        <w:t>, PWE, Warszawa.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Kowalski J. (2000b), </w:t>
      </w:r>
      <w:r w:rsidRPr="00CF38FD">
        <w:rPr>
          <w:i/>
          <w:iCs/>
        </w:rPr>
        <w:t>Ryzyko w podejmowaniu decyzji</w:t>
      </w:r>
      <w:r w:rsidRPr="00CF38FD">
        <w:t>, PWE, Warszawa.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Krajowy Standard Rewizji Finansowej [KSRF] 200, Ogólne cele niezależnego biegłego rewidenta oraz przeprowadzanie badania zgodnie z Międzynarodowymi Standardami Badania, Załącznik nr 1.1 do uchwały nr 2783/52/2015 Krajowej Rady Biegłych Rewidentów z dnia 10 lutego 2015 r. </w:t>
      </w:r>
    </w:p>
    <w:p w:rsidR="00655B2B" w:rsidRPr="00CF38FD" w:rsidRDefault="00CF38FD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  <w:lang w:val="en-US"/>
        </w:rPr>
      </w:pPr>
      <w:proofErr w:type="spellStart"/>
      <w:r>
        <w:rPr>
          <w:lang w:val="en-US"/>
        </w:rPr>
        <w:lastRenderedPageBreak/>
        <w:t>Marien</w:t>
      </w:r>
      <w:proofErr w:type="spellEnd"/>
      <w:r>
        <w:rPr>
          <w:lang w:val="en-US"/>
        </w:rPr>
        <w:t xml:space="preserve"> C., </w:t>
      </w:r>
      <w:proofErr w:type="spellStart"/>
      <w:r>
        <w:rPr>
          <w:lang w:val="en-US"/>
        </w:rPr>
        <w:t>Pizam</w:t>
      </w:r>
      <w:proofErr w:type="spellEnd"/>
      <w:r w:rsidRPr="00CF38FD">
        <w:rPr>
          <w:lang w:val="en-US"/>
        </w:rPr>
        <w:t xml:space="preserve"> A. (1997)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 w:rsidRPr="00CF38FD">
        <w:rPr>
          <w:i/>
          <w:lang w:val="en-US"/>
        </w:rPr>
        <w:t>Implementing S</w:t>
      </w:r>
      <w:r>
        <w:rPr>
          <w:i/>
          <w:lang w:val="en-US"/>
        </w:rPr>
        <w:t>ustainable Tourism Development t</w:t>
      </w:r>
      <w:r w:rsidRPr="00CF38FD">
        <w:rPr>
          <w:i/>
          <w:lang w:val="en-US"/>
        </w:rPr>
        <w:t>hrough Citizen Participation in the Planning Process</w:t>
      </w:r>
      <w:r>
        <w:rPr>
          <w:lang w:val="en-US"/>
        </w:rPr>
        <w:t xml:space="preserve"> [w:]</w:t>
      </w:r>
      <w:r w:rsidRPr="00CF38FD">
        <w:rPr>
          <w:lang w:val="en-US"/>
        </w:rPr>
        <w:t xml:space="preserve"> S. </w:t>
      </w:r>
      <w:proofErr w:type="spellStart"/>
      <w:r w:rsidRPr="00CF38FD">
        <w:rPr>
          <w:lang w:val="en-US"/>
        </w:rPr>
        <w:t>Wahab</w:t>
      </w:r>
      <w:proofErr w:type="spellEnd"/>
      <w:r>
        <w:rPr>
          <w:lang w:val="en-US"/>
        </w:rPr>
        <w:t>,</w:t>
      </w:r>
      <w:r w:rsidRPr="00CF38FD">
        <w:rPr>
          <w:lang w:val="en-US"/>
        </w:rPr>
        <w:t xml:space="preserve"> J. </w:t>
      </w:r>
      <w:proofErr w:type="spellStart"/>
      <w:r w:rsidRPr="00CF38FD">
        <w:rPr>
          <w:lang w:val="en-US"/>
        </w:rPr>
        <w:t>Pigram</w:t>
      </w:r>
      <w:proofErr w:type="spellEnd"/>
      <w:r w:rsidRPr="00CF38FD">
        <w:rPr>
          <w:lang w:val="en-US"/>
        </w:rPr>
        <w:t xml:space="preserve"> (eds</w:t>
      </w:r>
      <w:r>
        <w:rPr>
          <w:lang w:val="en-US"/>
        </w:rPr>
        <w:t>.</w:t>
      </w:r>
      <w:r w:rsidRPr="00CF38FD">
        <w:rPr>
          <w:lang w:val="en-US"/>
        </w:rPr>
        <w:t>)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 w:rsidRPr="00CF38FD">
        <w:rPr>
          <w:i/>
          <w:lang w:val="en-US"/>
        </w:rPr>
        <w:t>Tourism, Development and Growth</w:t>
      </w:r>
      <w:r>
        <w:rPr>
          <w:lang w:val="en-US"/>
        </w:rPr>
        <w:t>,</w:t>
      </w:r>
      <w:r w:rsidRPr="00CF38FD">
        <w:rPr>
          <w:lang w:val="en-US"/>
        </w:rPr>
        <w:t xml:space="preserve"> Routledge</w:t>
      </w:r>
      <w:r>
        <w:rPr>
          <w:lang w:val="en-US"/>
        </w:rPr>
        <w:t>,</w:t>
      </w:r>
      <w:r w:rsidRPr="00CF38FD">
        <w:rPr>
          <w:lang w:val="en-US"/>
        </w:rPr>
        <w:t xml:space="preserve"> </w:t>
      </w:r>
      <w:r>
        <w:rPr>
          <w:lang w:val="en-US"/>
        </w:rPr>
        <w:t>London,</w:t>
      </w:r>
      <w:r w:rsidRPr="00CF38FD">
        <w:rPr>
          <w:lang w:val="en-US"/>
        </w:rPr>
        <w:t xml:space="preserve"> </w:t>
      </w:r>
      <w:r>
        <w:rPr>
          <w:lang w:val="en-US"/>
        </w:rPr>
        <w:t>s</w:t>
      </w:r>
      <w:r w:rsidRPr="00CF38FD">
        <w:rPr>
          <w:lang w:val="en-US"/>
        </w:rPr>
        <w:t>. 164-</w:t>
      </w:r>
      <w:r>
        <w:rPr>
          <w:lang w:val="en-US"/>
        </w:rPr>
        <w:t>1</w:t>
      </w:r>
      <w:r w:rsidRPr="00CF38FD">
        <w:rPr>
          <w:lang w:val="en-US"/>
        </w:rPr>
        <w:t>78</w:t>
      </w:r>
      <w:r w:rsidRPr="00CF38FD">
        <w:rPr>
          <w:lang w:val="en-US"/>
        </w:rPr>
        <w:t>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Młynarczyk A. (2009), </w:t>
      </w:r>
      <w:r w:rsidRPr="00CF38FD">
        <w:rPr>
          <w:i/>
        </w:rPr>
        <w:t>Metody szacowania ryzyka wystąpienia nieprawidłowości w sprawozdaniach finansowych jako znaczący element rewizji finansowej</w:t>
      </w:r>
      <w:r w:rsidRPr="00CF38FD">
        <w:t>, praca doktorska zrealizowana pod kierunkiem naukowym J. Pfaffa w Akademii Ekonomicznej w Katowicach (niepublikowana).</w:t>
      </w:r>
    </w:p>
    <w:p w:rsidR="00CF38FD" w:rsidRPr="00CF38FD" w:rsidRDefault="00CF38FD" w:rsidP="00CF38FD">
      <w:pPr>
        <w:pStyle w:val="Tekstprzypisukocowego"/>
        <w:spacing w:after="100"/>
        <w:ind w:left="425" w:hanging="425"/>
        <w:jc w:val="both"/>
      </w:pPr>
      <w:r w:rsidRPr="00CF38FD">
        <w:t xml:space="preserve">NIK (2016), </w:t>
      </w:r>
      <w:r w:rsidRPr="00CF38FD">
        <w:rPr>
          <w:i/>
        </w:rPr>
        <w:t>NIK o systemie przeciwdziałania praniu pieniędzy oraz finansowaniu terroryzmu</w:t>
      </w:r>
      <w:r w:rsidRPr="00CF38FD">
        <w:t xml:space="preserve">, </w:t>
      </w:r>
      <w:hyperlink r:id="rId9" w:history="1">
        <w:r w:rsidRPr="00CF38FD">
          <w:rPr>
            <w:rStyle w:val="Hipercze"/>
            <w:color w:val="auto"/>
            <w:u w:val="none"/>
          </w:rPr>
          <w:t>https://www.nik.gov.pl/aktualnosci/bezpieczenstwo/nik-o-systemie-przeciwdzialania-praniu-pieniedzy-oraz-finansowaniu-terroryzmu.html</w:t>
        </w:r>
      </w:hyperlink>
      <w:r w:rsidRPr="00CF38FD">
        <w:t xml:space="preserve"> (dostęp: 10.03.2017).</w:t>
      </w:r>
    </w:p>
    <w:p w:rsidR="00655B2B" w:rsidRPr="000A2129" w:rsidRDefault="0038604A" w:rsidP="00655B2B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>
        <w:t>Nowak M. (2015</w:t>
      </w:r>
      <w:r w:rsidR="00655B2B" w:rsidRPr="000A2129">
        <w:t xml:space="preserve">), </w:t>
      </w:r>
      <w:r w:rsidR="00655B2B" w:rsidRPr="000A2129">
        <w:rPr>
          <w:i/>
        </w:rPr>
        <w:t xml:space="preserve">Ryzyko inwestowania w nieruchomości </w:t>
      </w:r>
      <w:r>
        <w:t xml:space="preserve">[w:] A. Malinowska (red.), </w:t>
      </w:r>
      <w:r w:rsidR="00655B2B" w:rsidRPr="000A2129">
        <w:rPr>
          <w:i/>
        </w:rPr>
        <w:t>Ryzyko w inwestowaniu</w:t>
      </w:r>
      <w:r w:rsidR="00655B2B" w:rsidRPr="000A2129">
        <w:t>, PWE, Warszawa</w:t>
      </w:r>
      <w:r w:rsidR="00CF38FD">
        <w:t>, s. 57-84</w:t>
      </w:r>
      <w:r w:rsidR="00655B2B" w:rsidRPr="000A2129">
        <w:t>.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Rozporządzenie Parlamentu Europejskiego i Rady (UE) nr 537/2014 z dnia 16 kwietnia w sprawie szczegółowych wymogów dotyczących ustawowych badań sprawozdań finansowych jednostek interesu publicznego, uchylające decyzję Komisji 2005/909/WE,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Dz.Urz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. UE L. 158/77.Ustawa o rachunkowości z dnia 29 września 1994 r., Dz.U. 2002, Nr 76, poz. 694 z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późn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>. zm.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</w:rPr>
        <w:t>Siejczuk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 P. (2012), </w:t>
      </w:r>
      <w:r w:rsidRPr="00CF38FD">
        <w:rPr>
          <w:bCs/>
          <w:i/>
          <w:color w:val="000000"/>
          <w:spacing w:val="-7"/>
          <w:kern w:val="22"/>
          <w:sz w:val="20"/>
          <w:szCs w:val="20"/>
        </w:rPr>
        <w:t>Problematyka prania brudnych pieniędzy w regulacjach prawnomiędzynarodowych, europejskich i krajowych</w:t>
      </w: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, „Bezpieczeństwo Narodowe”, nr III-IV (23-24), s. 199-223, </w:t>
      </w:r>
      <w:hyperlink r:id="rId10" w:history="1">
        <w:r w:rsidRPr="00CF38FD">
          <w:rPr>
            <w:rStyle w:val="Hipercze"/>
            <w:bCs/>
            <w:color w:val="auto"/>
            <w:spacing w:val="-7"/>
            <w:kern w:val="22"/>
            <w:sz w:val="20"/>
            <w:szCs w:val="20"/>
            <w:u w:val="none"/>
          </w:rPr>
          <w:t>https://www.bbn.gov.pl/download/1/12749/kbns199-223Problematykaprania.pdf</w:t>
        </w:r>
      </w:hyperlink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 (dostęp: 12.03.2017).</w:t>
      </w:r>
    </w:p>
    <w:p w:rsidR="008570F1" w:rsidRPr="008570F1" w:rsidRDefault="008570F1" w:rsidP="008570F1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</w:rPr>
      </w:pP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Simorot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Z.K. (1980),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Primenenie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zakonodatel’stva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reguliruûŝego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disciplinu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truda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rabočih</w:t>
      </w:r>
      <w:proofErr w:type="spellEnd"/>
      <w:r w:rsidRPr="008570F1">
        <w:rPr>
          <w:bCs/>
          <w:i/>
          <w:color w:val="000000"/>
          <w:spacing w:val="-7"/>
          <w:kern w:val="22"/>
          <w:sz w:val="20"/>
          <w:szCs w:val="20"/>
        </w:rPr>
        <w:t xml:space="preserve"> i </w:t>
      </w:r>
      <w:proofErr w:type="spellStart"/>
      <w:r w:rsidRPr="008570F1">
        <w:rPr>
          <w:bCs/>
          <w:i/>
          <w:color w:val="000000"/>
          <w:spacing w:val="-7"/>
          <w:kern w:val="22"/>
          <w:sz w:val="20"/>
          <w:szCs w:val="20"/>
        </w:rPr>
        <w:t>služaŝih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Institut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Gosudarstva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i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Prava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Akademiâ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Nauk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Ukrainskoj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SSR,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Naukova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 Dumka,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</w:rPr>
        <w:t>Kiev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</w:rPr>
        <w:t xml:space="preserve">. </w:t>
      </w:r>
    </w:p>
    <w:p w:rsidR="00CF38FD" w:rsidRPr="00CF38FD" w:rsidRDefault="00CF38FD" w:rsidP="00CF38FD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  <w:lang w:val="en-US"/>
        </w:rPr>
      </w:pP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Strijker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D.,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Deinum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T. (1992), </w:t>
      </w:r>
      <w:r w:rsidRPr="00CF38FD">
        <w:rPr>
          <w:bCs/>
          <w:i/>
          <w:color w:val="000000"/>
          <w:spacing w:val="-7"/>
          <w:kern w:val="22"/>
          <w:sz w:val="20"/>
          <w:szCs w:val="20"/>
          <w:lang w:val="en-US"/>
        </w:rPr>
        <w:t>Relative Welfare Differences in the EU</w:t>
      </w:r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[w:] M.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Tykkylainen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(ed.), </w:t>
      </w:r>
      <w:r w:rsidRPr="00CF38FD">
        <w:rPr>
          <w:bCs/>
          <w:i/>
          <w:color w:val="000000"/>
          <w:spacing w:val="-7"/>
          <w:kern w:val="22"/>
          <w:sz w:val="20"/>
          <w:szCs w:val="20"/>
          <w:lang w:val="en-US"/>
        </w:rPr>
        <w:t>Development Issues and Strategies in the New Europe</w:t>
      </w:r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CPM, </w:t>
      </w:r>
      <w:proofErr w:type="spellStart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>Altershot</w:t>
      </w:r>
      <w:proofErr w:type="spellEnd"/>
      <w:r w:rsidRPr="00CF38FD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s. 25-47. </w:t>
      </w:r>
    </w:p>
    <w:p w:rsidR="008570F1" w:rsidRPr="008570F1" w:rsidRDefault="008570F1" w:rsidP="008570F1">
      <w:pPr>
        <w:spacing w:after="100"/>
        <w:ind w:left="425" w:hanging="425"/>
        <w:rPr>
          <w:bCs/>
          <w:color w:val="000000"/>
          <w:spacing w:val="-7"/>
          <w:kern w:val="22"/>
          <w:sz w:val="20"/>
          <w:szCs w:val="20"/>
          <w:lang w:val="en-US"/>
        </w:rPr>
      </w:pP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Toporov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V.N. (2004), </w:t>
      </w:r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ponjatii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mesta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ego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vnutrennich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svjazjach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ego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kontekste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(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značenie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smysl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etimologija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)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[</w:t>
      </w:r>
      <w:r>
        <w:rPr>
          <w:bCs/>
          <w:color w:val="000000"/>
          <w:spacing w:val="-7"/>
          <w:kern w:val="22"/>
          <w:sz w:val="20"/>
          <w:szCs w:val="20"/>
          <w:lang w:val="en-US"/>
        </w:rPr>
        <w:t>w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:]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Jazyk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kul’tury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: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semantyka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i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grammatika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. K 80-letiju so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dnija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roždenija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akademika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Nikity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Il’iča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</w:t>
      </w:r>
      <w:proofErr w:type="spellStart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>Tolstogo</w:t>
      </w:r>
      <w:proofErr w:type="spellEnd"/>
      <w:r w:rsidRPr="008570F1">
        <w:rPr>
          <w:bCs/>
          <w:i/>
          <w:iCs/>
          <w:color w:val="000000"/>
          <w:spacing w:val="-7"/>
          <w:kern w:val="22"/>
          <w:sz w:val="20"/>
          <w:szCs w:val="20"/>
          <w:lang w:val="en-US"/>
        </w:rPr>
        <w:t xml:space="preserve"> (1923-1996)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, 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Izdatel’stvo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 „</w:t>
      </w:r>
      <w:proofErr w:type="spellStart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Indrik</w:t>
      </w:r>
      <w:proofErr w:type="spellEnd"/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 xml:space="preserve">”, Moskva, </w:t>
      </w:r>
      <w:r>
        <w:rPr>
          <w:bCs/>
          <w:color w:val="000000"/>
          <w:spacing w:val="-7"/>
          <w:kern w:val="22"/>
          <w:sz w:val="20"/>
          <w:szCs w:val="20"/>
          <w:lang w:val="en-US"/>
        </w:rPr>
        <w:t>s</w:t>
      </w:r>
      <w:r w:rsidRPr="008570F1">
        <w:rPr>
          <w:bCs/>
          <w:color w:val="000000"/>
          <w:spacing w:val="-7"/>
          <w:kern w:val="22"/>
          <w:sz w:val="20"/>
          <w:szCs w:val="20"/>
          <w:lang w:val="en-US"/>
        </w:rPr>
        <w:t>. 12-106.</w:t>
      </w:r>
    </w:p>
    <w:p w:rsidR="00655B2B" w:rsidRPr="000A2129" w:rsidRDefault="00CF38FD" w:rsidP="00CF38FD">
      <w:pPr>
        <w:spacing w:after="100"/>
        <w:ind w:left="425" w:hanging="425"/>
        <w:rPr>
          <w:color w:val="000000"/>
          <w:spacing w:val="-7"/>
          <w:kern w:val="22"/>
          <w:sz w:val="20"/>
          <w:szCs w:val="20"/>
        </w:rPr>
      </w:pPr>
      <w:r w:rsidRPr="00CF38FD">
        <w:rPr>
          <w:bCs/>
          <w:color w:val="000000"/>
          <w:spacing w:val="-7"/>
          <w:kern w:val="22"/>
          <w:sz w:val="20"/>
          <w:szCs w:val="20"/>
        </w:rPr>
        <w:t xml:space="preserve">Wszelaki A. (2016), </w:t>
      </w:r>
      <w:r w:rsidRPr="00CF38FD">
        <w:rPr>
          <w:bCs/>
          <w:i/>
          <w:color w:val="000000"/>
          <w:spacing w:val="-7"/>
          <w:kern w:val="22"/>
          <w:sz w:val="20"/>
          <w:szCs w:val="20"/>
        </w:rPr>
        <w:t>Zasady i etyka wykonywania zawodu biegłego rewidenta w regulacjach polskiego prawa</w:t>
      </w:r>
      <w:r w:rsidRPr="00CF38FD">
        <w:rPr>
          <w:bCs/>
          <w:color w:val="000000"/>
          <w:spacing w:val="-7"/>
          <w:kern w:val="22"/>
          <w:sz w:val="20"/>
          <w:szCs w:val="20"/>
        </w:rPr>
        <w:t>, „Studia Ekonomiczne. Zeszyty Naukowe Uniwersytetu Ekonomicznego w Katowicach”, nr 274, s. 113-121.</w:t>
      </w:r>
      <w:r w:rsidR="00655B2B" w:rsidRPr="000A2129">
        <w:rPr>
          <w:color w:val="000000"/>
          <w:spacing w:val="-7"/>
          <w:kern w:val="22"/>
          <w:sz w:val="20"/>
          <w:szCs w:val="20"/>
        </w:rPr>
        <w:t>Usta</w:t>
      </w:r>
      <w:r w:rsidR="0038604A">
        <w:rPr>
          <w:color w:val="000000"/>
          <w:spacing w:val="-7"/>
          <w:kern w:val="22"/>
          <w:sz w:val="20"/>
          <w:szCs w:val="20"/>
        </w:rPr>
        <w:t>wa z dnia 16 września 1982 r. Prawo spółdzielcze, Dz.U. 2003, N</w:t>
      </w:r>
      <w:r w:rsidR="00655B2B" w:rsidRPr="000A2129">
        <w:rPr>
          <w:color w:val="000000"/>
          <w:spacing w:val="-7"/>
          <w:kern w:val="22"/>
          <w:sz w:val="20"/>
          <w:szCs w:val="20"/>
        </w:rPr>
        <w:t xml:space="preserve">r 188, poz. 18 z </w:t>
      </w:r>
      <w:proofErr w:type="spellStart"/>
      <w:r w:rsidR="00655B2B" w:rsidRPr="000A2129">
        <w:rPr>
          <w:color w:val="000000"/>
          <w:spacing w:val="-7"/>
          <w:kern w:val="22"/>
          <w:sz w:val="20"/>
          <w:szCs w:val="20"/>
        </w:rPr>
        <w:t>późn</w:t>
      </w:r>
      <w:proofErr w:type="spellEnd"/>
      <w:r w:rsidR="00655B2B" w:rsidRPr="000A2129">
        <w:rPr>
          <w:color w:val="000000"/>
          <w:spacing w:val="-7"/>
          <w:kern w:val="22"/>
          <w:sz w:val="20"/>
          <w:szCs w:val="20"/>
        </w:rPr>
        <w:t>. zm.</w:t>
      </w:r>
    </w:p>
    <w:p w:rsidR="00CF38FD" w:rsidRPr="00CF38FD" w:rsidRDefault="00CF38FD" w:rsidP="00CF38FD">
      <w:pPr>
        <w:pStyle w:val="Tekstprzypisukocowego"/>
        <w:spacing w:after="100"/>
        <w:ind w:left="425" w:hanging="425"/>
      </w:pPr>
      <w:r w:rsidRPr="00CF38FD">
        <w:t xml:space="preserve">[www 1] </w:t>
      </w:r>
      <w:hyperlink r:id="rId11" w:history="1">
        <w:r w:rsidRPr="00CF38FD">
          <w:rPr>
            <w:rStyle w:val="Hipercze"/>
            <w:color w:val="auto"/>
            <w:u w:val="none"/>
          </w:rPr>
          <w:t>www.krakow.rio.bip.net.pl</w:t>
        </w:r>
      </w:hyperlink>
      <w:r w:rsidRPr="00CF38FD">
        <w:t xml:space="preserve"> (dostęp: 4.09.2017).</w:t>
      </w:r>
    </w:p>
    <w:p w:rsidR="00655B2B" w:rsidRPr="000A2129" w:rsidRDefault="00CF38FD" w:rsidP="00CF38FD">
      <w:pPr>
        <w:pStyle w:val="Tekstprzypisukocowego"/>
        <w:spacing w:after="100"/>
        <w:ind w:left="425" w:hanging="425"/>
        <w:jc w:val="both"/>
        <w:rPr>
          <w:color w:val="000000"/>
          <w:kern w:val="22"/>
        </w:rPr>
      </w:pPr>
      <w:r>
        <w:t>[www 2</w:t>
      </w:r>
      <w:r w:rsidR="00655B2B" w:rsidRPr="000A2129">
        <w:t>] http://www.msz.gov.pl (dostęp: 17.02.2012).</w:t>
      </w:r>
    </w:p>
    <w:p w:rsidR="00655B2B" w:rsidRPr="00655B2B" w:rsidRDefault="00655B2B" w:rsidP="00655B2B">
      <w:pPr>
        <w:spacing w:after="100"/>
        <w:ind w:left="425" w:hanging="425"/>
        <w:rPr>
          <w:color w:val="000000"/>
          <w:kern w:val="22"/>
          <w:sz w:val="16"/>
          <w:szCs w:val="16"/>
        </w:rPr>
      </w:pPr>
    </w:p>
    <w:p w:rsidR="00655B2B" w:rsidRPr="000A2129" w:rsidRDefault="00655B2B" w:rsidP="00655B2B">
      <w:pPr>
        <w:ind w:left="425" w:hanging="425"/>
        <w:jc w:val="center"/>
        <w:rPr>
          <w:b/>
          <w:color w:val="000000"/>
          <w:kern w:val="22"/>
          <w:sz w:val="20"/>
          <w:szCs w:val="20"/>
        </w:rPr>
      </w:pPr>
      <w:r w:rsidRPr="000A2129">
        <w:rPr>
          <w:b/>
          <w:color w:val="000000"/>
          <w:kern w:val="22"/>
          <w:sz w:val="20"/>
          <w:szCs w:val="20"/>
        </w:rPr>
        <w:t xml:space="preserve">TYTUŁ ARTYKUŁU W JĘZYKU ANGIELSKIM </w:t>
      </w:r>
      <w:r w:rsidRPr="000A2129">
        <w:rPr>
          <w:color w:val="000000"/>
          <w:kern w:val="22"/>
          <w:sz w:val="20"/>
          <w:szCs w:val="20"/>
        </w:rPr>
        <w:t>(10 pkt)</w:t>
      </w: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ind w:left="425" w:hanging="425"/>
        <w:rPr>
          <w:color w:val="000000"/>
          <w:kern w:val="22"/>
          <w:sz w:val="10"/>
          <w:szCs w:val="10"/>
        </w:rPr>
      </w:pPr>
    </w:p>
    <w:p w:rsidR="00655B2B" w:rsidRPr="000A2129" w:rsidRDefault="00655B2B" w:rsidP="00655B2B">
      <w:pPr>
        <w:rPr>
          <w:kern w:val="22"/>
          <w:sz w:val="20"/>
          <w:szCs w:val="20"/>
        </w:rPr>
      </w:pPr>
      <w:r w:rsidRPr="000A2129">
        <w:rPr>
          <w:b/>
          <w:kern w:val="22"/>
          <w:sz w:val="20"/>
          <w:szCs w:val="20"/>
        </w:rPr>
        <w:t>Summary:</w:t>
      </w:r>
      <w:r w:rsidRPr="000A2129">
        <w:rPr>
          <w:kern w:val="22"/>
          <w:sz w:val="20"/>
          <w:szCs w:val="20"/>
        </w:rPr>
        <w:t xml:space="preserve"> Miejsce na tekst streszczenia w języku angielskim. Miejsce na tekst streszczenia w języku angielskim (10 pkt) – do 1000 znaków (ze spacjami).</w:t>
      </w:r>
    </w:p>
    <w:p w:rsidR="00655B2B" w:rsidRPr="000A2129" w:rsidRDefault="00655B2B" w:rsidP="00655B2B">
      <w:pPr>
        <w:rPr>
          <w:kern w:val="22"/>
          <w:sz w:val="20"/>
          <w:szCs w:val="20"/>
        </w:rPr>
      </w:pPr>
    </w:p>
    <w:p w:rsidR="00655B2B" w:rsidRDefault="00655B2B">
      <w:proofErr w:type="spellStart"/>
      <w:r w:rsidRPr="000A2129">
        <w:rPr>
          <w:b/>
          <w:kern w:val="22"/>
          <w:sz w:val="20"/>
          <w:szCs w:val="20"/>
        </w:rPr>
        <w:t>Keywords</w:t>
      </w:r>
      <w:proofErr w:type="spellEnd"/>
      <w:r w:rsidRPr="000A2129">
        <w:rPr>
          <w:b/>
          <w:kern w:val="22"/>
          <w:sz w:val="20"/>
          <w:szCs w:val="20"/>
        </w:rPr>
        <w:t>:</w:t>
      </w:r>
      <w:r w:rsidRPr="000A2129">
        <w:rPr>
          <w:kern w:val="22"/>
          <w:sz w:val="20"/>
          <w:szCs w:val="20"/>
        </w:rPr>
        <w:t xml:space="preserve"> 3 do 5 słów (10 pkt).</w:t>
      </w:r>
    </w:p>
    <w:sectPr w:rsidR="00655B2B" w:rsidSect="00592BB8">
      <w:footnotePr>
        <w:numRestart w:val="eachSect"/>
      </w:footnotePr>
      <w:pgSz w:w="11906" w:h="16838" w:code="9"/>
      <w:pgMar w:top="2268" w:right="2268" w:bottom="2835" w:left="2268" w:header="1616" w:footer="29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3F" w:rsidRDefault="002C5E3F" w:rsidP="00655B2B">
      <w:r>
        <w:separator/>
      </w:r>
    </w:p>
  </w:endnote>
  <w:endnote w:type="continuationSeparator" w:id="0">
    <w:p w:rsidR="002C5E3F" w:rsidRDefault="002C5E3F" w:rsidP="0065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3F" w:rsidRDefault="002C5E3F" w:rsidP="00655B2B">
      <w:r>
        <w:separator/>
      </w:r>
    </w:p>
  </w:footnote>
  <w:footnote w:type="continuationSeparator" w:id="0">
    <w:p w:rsidR="002C5E3F" w:rsidRDefault="002C5E3F" w:rsidP="00655B2B">
      <w:r>
        <w:continuationSeparator/>
      </w:r>
    </w:p>
  </w:footnote>
  <w:footnote w:id="1">
    <w:p w:rsidR="00655B2B" w:rsidRPr="000E6027" w:rsidRDefault="00655B2B" w:rsidP="00655B2B">
      <w:pPr>
        <w:pStyle w:val="Tekstprzypisudolnego"/>
        <w:ind w:left="198" w:hanging="198"/>
        <w:rPr>
          <w:sz w:val="18"/>
          <w:szCs w:val="18"/>
        </w:rPr>
      </w:pPr>
      <w:r w:rsidRPr="000E6027">
        <w:rPr>
          <w:rStyle w:val="Odwoanieprzypisudolnego"/>
          <w:sz w:val="18"/>
          <w:szCs w:val="18"/>
        </w:rPr>
        <w:footnoteRef/>
      </w:r>
      <w:r w:rsidRPr="000E6027">
        <w:rPr>
          <w:sz w:val="18"/>
          <w:szCs w:val="18"/>
        </w:rPr>
        <w:t xml:space="preserve"> </w:t>
      </w:r>
      <w:r w:rsidRPr="000E6027">
        <w:rPr>
          <w:sz w:val="18"/>
          <w:szCs w:val="18"/>
        </w:rPr>
        <w:tab/>
        <w:t>Przypis dolny (9 pkt).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B"/>
    <w:rsid w:val="000E08A1"/>
    <w:rsid w:val="00233C52"/>
    <w:rsid w:val="002C5E3F"/>
    <w:rsid w:val="0038604A"/>
    <w:rsid w:val="0059230C"/>
    <w:rsid w:val="00592BB8"/>
    <w:rsid w:val="00655B2B"/>
    <w:rsid w:val="00761619"/>
    <w:rsid w:val="008570F1"/>
    <w:rsid w:val="00983CED"/>
    <w:rsid w:val="009D6316"/>
    <w:rsid w:val="00BA6E17"/>
    <w:rsid w:val="00BB1263"/>
    <w:rsid w:val="00BC39A5"/>
    <w:rsid w:val="00BE2FBD"/>
    <w:rsid w:val="00BE7B2D"/>
    <w:rsid w:val="00C94FD2"/>
    <w:rsid w:val="00CF38FD"/>
    <w:rsid w:val="00D328D8"/>
    <w:rsid w:val="00F56B36"/>
    <w:rsid w:val="00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5B2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B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B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ewa,Footnote Reference Number,Odwołanie przypisu Znak Znak,Odwołanie przypisu,Odwo3anie przypisu,SUPERS,Odsy³acz przypisu dolnego 1,Odsy3acz przypisu dolnego 1,Odsyłacz przypisu dolnego 1"/>
    <w:basedOn w:val="Domylnaczcionkaakapitu"/>
    <w:rsid w:val="00655B2B"/>
    <w:rPr>
      <w:vertAlign w:val="superscript"/>
    </w:rPr>
  </w:style>
  <w:style w:type="paragraph" w:styleId="Tekstprzypisudolnego">
    <w:name w:val="footnote text"/>
    <w:aliases w:val="przypisy,Podrozdział,Tekst przypisu dolnego Znak Znak Znak,przypis,Tekst przypisu,single space,footnote text,FOOTNOTES,fn,Fußnote,Footnote,Podrozdzia3,Znak,Tekst przypisu dolnego_r3,Znak Znak Znak Znak"/>
    <w:basedOn w:val="Normalny"/>
    <w:link w:val="TekstprzypisudolnegoZnak1"/>
    <w:qFormat/>
    <w:rsid w:val="00655B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55B2B"/>
  </w:style>
  <w:style w:type="paragraph" w:styleId="Tekstprzypisukocowego">
    <w:name w:val="endnote text"/>
    <w:basedOn w:val="Normalny"/>
    <w:link w:val="TekstprzypisukocowegoZnak"/>
    <w:rsid w:val="00655B2B"/>
    <w:pPr>
      <w:jc w:val="left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rzypisy Znak,Podrozdział Znak,Tekst przypisu dolnego Znak Znak Znak Znak,przypis Znak,Tekst przypisu Znak,single space Znak,footnote text Znak,FOOTNOTES Znak,fn Znak,Fußnote Znak,Footnote Znak,Podrozdzia3 Znak,Znak Znak"/>
    <w:basedOn w:val="Domylnaczcionkaakapitu"/>
    <w:link w:val="Tekstprzypisudolnego"/>
    <w:rsid w:val="00655B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B2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5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E17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3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akow.rio.bip.net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n.gov.pl/download/1/12749/kbns199-223Problematykapran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k.gov.pl/aktualnosci/bezpieczenstwo/nik-o-systemie-przeciwdzialania-praniu-pieniedzy-oraz-finansowaniu-terroryzmu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947089947090247E-2"/>
          <c:y val="0.12359550561797752"/>
          <c:w val="0.8941798941798994"/>
          <c:h val="0.65730337078651691"/>
        </c:manualLayout>
      </c:layout>
      <c:lineChart>
        <c:grouping val="standard"/>
        <c:varyColors val="0"/>
        <c:ser>
          <c:idx val="0"/>
          <c:order val="0"/>
          <c:tx>
            <c:strRef>
              <c:f>'Przykład 1'!$B$3</c:f>
              <c:strCache>
                <c:ptCount val="1"/>
                <c:pt idx="0">
                  <c:v>T</c:v>
                </c:pt>
              </c:strCache>
            </c:strRef>
          </c:tx>
          <c:spPr>
            <a:ln w="1037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'Przykład 1'!$C$3:$H$3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'Przykład 1'!$B$11</c:f>
              <c:strCache>
                <c:ptCount val="1"/>
                <c:pt idx="0">
                  <c:v>NI</c:v>
                </c:pt>
              </c:strCache>
            </c:strRef>
          </c:tx>
          <c:spPr>
            <a:ln w="20739">
              <a:solidFill>
                <a:srgbClr val="FF0000"/>
              </a:solidFill>
              <a:prstDash val="solid"/>
            </a:ln>
          </c:spPr>
          <c:marker>
            <c:symbol val="none"/>
          </c:marker>
          <c:val>
            <c:numRef>
              <c:f>'Przykład 1'!$C$11:$H$11</c:f>
              <c:numCache>
                <c:formatCode>#,##0</c:formatCode>
                <c:ptCount val="6"/>
                <c:pt idx="0">
                  <c:v>1000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  <c:pt idx="4">
                  <c:v>1000</c:v>
                </c:pt>
                <c:pt idx="5">
                  <c:v>1000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'Przykład 1'!$B$12</c:f>
              <c:strCache>
                <c:ptCount val="1"/>
                <c:pt idx="0">
                  <c:v>sCF</c:v>
                </c:pt>
              </c:strCache>
            </c:strRef>
          </c:tx>
          <c:spPr>
            <a:ln w="20739">
              <a:solidFill>
                <a:srgbClr val="3366FF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18">
                <a:noFill/>
              </a:ln>
            </c:spPr>
            <c:txPr>
              <a:bodyPr/>
              <a:lstStyle/>
              <a:p>
                <a:pPr>
                  <a:defRPr sz="759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'Przykład 1'!$C$12:$H$12</c:f>
              <c:numCache>
                <c:formatCode>#,##0</c:formatCode>
                <c:ptCount val="6"/>
                <c:pt idx="0">
                  <c:v>0</c:v>
                </c:pt>
                <c:pt idx="1">
                  <c:v>100</c:v>
                </c:pt>
                <c:pt idx="2">
                  <c:v>300</c:v>
                </c:pt>
                <c:pt idx="3">
                  <c:v>600</c:v>
                </c:pt>
                <c:pt idx="4">
                  <c:v>1000</c:v>
                </c:pt>
                <c:pt idx="5">
                  <c:v>1400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06336"/>
        <c:axId val="148207872"/>
      </c:lineChart>
      <c:catAx>
        <c:axId val="14820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48207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207872"/>
        <c:scaling>
          <c:orientation val="minMax"/>
        </c:scaling>
        <c:delete val="0"/>
        <c:axPos val="l"/>
        <c:majorGridlines>
          <c:spPr>
            <a:ln w="259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9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48206336"/>
        <c:crosses val="autoZero"/>
        <c:crossBetween val="between"/>
      </c:valAx>
      <c:spPr>
        <a:solidFill>
          <a:srgbClr val="FFFFFF"/>
        </a:solidFill>
        <a:ln w="1037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593">
      <a:solidFill>
        <a:srgbClr val="000000"/>
      </a:solidFill>
      <a:prstDash val="solid"/>
    </a:ln>
  </c:spPr>
  <c:txPr>
    <a:bodyPr/>
    <a:lstStyle/>
    <a:p>
      <a:pPr>
        <a:defRPr sz="759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Patrycja</cp:lastModifiedBy>
  <cp:revision>2</cp:revision>
  <dcterms:created xsi:type="dcterms:W3CDTF">2018-05-11T09:18:00Z</dcterms:created>
  <dcterms:modified xsi:type="dcterms:W3CDTF">2018-05-11T09:18:00Z</dcterms:modified>
</cp:coreProperties>
</file>